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5BF9D5">
      <w:pPr>
        <w:jc w:val="center"/>
        <w:rPr>
          <w:rFonts w:hint="default"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rPr>
        <w:t>信息</w:t>
      </w:r>
      <w:r>
        <w:rPr>
          <w:rFonts w:hint="eastAsia" w:ascii="方正小标宋简体" w:hAnsi="方正小标宋简体" w:eastAsia="方正小标宋简体" w:cs="方正小标宋简体"/>
          <w:sz w:val="36"/>
          <w:szCs w:val="36"/>
          <w:lang w:val="en-US" w:eastAsia="zh-CN"/>
        </w:rPr>
        <w:t>系统</w:t>
      </w:r>
      <w:r>
        <w:rPr>
          <w:rFonts w:hint="eastAsia" w:ascii="方正小标宋简体" w:hAnsi="方正小标宋简体" w:eastAsia="方正小标宋简体" w:cs="方正小标宋简体"/>
          <w:sz w:val="36"/>
          <w:szCs w:val="36"/>
        </w:rPr>
        <w:t>项目需求</w:t>
      </w:r>
      <w:r>
        <w:rPr>
          <w:rFonts w:hint="eastAsia" w:ascii="方正小标宋简体" w:hAnsi="方正小标宋简体" w:eastAsia="方正小标宋简体" w:cs="方正小标宋简体"/>
          <w:sz w:val="36"/>
          <w:szCs w:val="36"/>
          <w:lang w:val="en-US" w:eastAsia="zh-CN"/>
        </w:rPr>
        <w:t>说明</w:t>
      </w:r>
    </w:p>
    <w:tbl>
      <w:tblPr>
        <w:tblStyle w:val="10"/>
        <w:tblW w:w="9826" w:type="dxa"/>
        <w:tblInd w:w="-7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9"/>
        <w:gridCol w:w="7477"/>
      </w:tblGrid>
      <w:tr w14:paraId="29876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2349" w:type="dxa"/>
            <w:vAlign w:val="center"/>
          </w:tcPr>
          <w:p w14:paraId="6F84F7D6">
            <w:pPr>
              <w:pStyle w:val="2"/>
              <w:widowControl/>
              <w:shd w:val="clear" w:color="auto" w:fill="FFFFFF"/>
              <w:spacing w:before="0" w:beforeAutospacing="0" w:after="0" w:afterAutospacing="0" w:line="23" w:lineRule="atLeast"/>
              <w:jc w:val="center"/>
              <w:rPr>
                <w:rFonts w:hint="eastAsia" w:ascii="宋体" w:hAnsi="宋体" w:eastAsia="宋体" w:cs="宋体"/>
                <w:sz w:val="21"/>
                <w:szCs w:val="21"/>
              </w:rPr>
            </w:pPr>
            <w:r>
              <w:rPr>
                <w:rFonts w:hint="eastAsia" w:ascii="宋体" w:hAnsi="宋体" w:eastAsia="宋体" w:cs="宋体"/>
                <w:b w:val="0"/>
                <w:sz w:val="21"/>
                <w:szCs w:val="21"/>
              </w:rPr>
              <w:t>项目名称</w:t>
            </w:r>
          </w:p>
        </w:tc>
        <w:tc>
          <w:tcPr>
            <w:tcW w:w="7477" w:type="dxa"/>
            <w:vAlign w:val="center"/>
          </w:tcPr>
          <w:p w14:paraId="5B24B02C">
            <w:pPr>
              <w:pStyle w:val="2"/>
              <w:widowControl/>
              <w:shd w:val="clear" w:color="auto" w:fill="FFFFFF"/>
              <w:spacing w:before="0" w:beforeAutospacing="0" w:after="0" w:afterAutospacing="0" w:line="23" w:lineRule="atLeast"/>
              <w:jc w:val="center"/>
              <w:rPr>
                <w:rFonts w:hint="default" w:ascii="宋体" w:hAnsi="宋体" w:eastAsia="宋体" w:cs="宋体"/>
                <w:b w:val="0"/>
                <w:bCs/>
                <w:sz w:val="21"/>
                <w:szCs w:val="21"/>
                <w:shd w:val="clear" w:color="auto" w:fill="FFFFFF"/>
                <w:lang w:val="en-US" w:eastAsia="zh-CN"/>
              </w:rPr>
            </w:pPr>
            <w:r>
              <w:rPr>
                <w:rFonts w:hint="default" w:ascii="宋体" w:hAnsi="宋体" w:eastAsia="宋体" w:cs="宋体"/>
                <w:b w:val="0"/>
                <w:bCs/>
                <w:sz w:val="21"/>
                <w:szCs w:val="21"/>
                <w:shd w:val="clear" w:color="auto" w:fill="FFFFFF"/>
                <w:lang w:val="en-US" w:eastAsia="zh-CN"/>
              </w:rPr>
              <w:t>医院医保内控自查分析管理平台维保服务</w:t>
            </w:r>
          </w:p>
        </w:tc>
      </w:tr>
      <w:tr w14:paraId="2E21E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8" w:hRule="atLeast"/>
        </w:trPr>
        <w:tc>
          <w:tcPr>
            <w:tcW w:w="2349" w:type="dxa"/>
            <w:vAlign w:val="center"/>
          </w:tcPr>
          <w:p w14:paraId="4B954EC3">
            <w:pPr>
              <w:pStyle w:val="2"/>
              <w:widowControl/>
              <w:shd w:val="clear" w:color="auto" w:fill="FFFFFF"/>
              <w:spacing w:before="0" w:beforeAutospacing="0" w:after="0" w:afterAutospacing="0" w:line="23" w:lineRule="atLeast"/>
              <w:jc w:val="center"/>
              <w:rPr>
                <w:rFonts w:hint="eastAsia" w:ascii="宋体" w:hAnsi="宋体" w:eastAsia="宋体" w:cs="宋体"/>
                <w:b w:val="0"/>
                <w:bCs/>
                <w:sz w:val="21"/>
                <w:szCs w:val="21"/>
                <w:shd w:val="clear" w:color="auto" w:fill="FFFFFF"/>
                <w:lang w:val="en-US" w:eastAsia="zh-CN"/>
              </w:rPr>
            </w:pPr>
            <w:r>
              <w:rPr>
                <w:rFonts w:hint="eastAsia" w:cs="宋体"/>
                <w:b w:val="0"/>
                <w:bCs/>
                <w:sz w:val="21"/>
                <w:szCs w:val="21"/>
                <w:shd w:val="clear" w:color="auto" w:fill="FFFFFF"/>
                <w:lang w:val="en-US" w:eastAsia="zh-CN"/>
              </w:rPr>
              <w:t>△</w:t>
            </w:r>
            <w:r>
              <w:rPr>
                <w:rFonts w:hint="eastAsia" w:ascii="宋体" w:hAnsi="宋体" w:eastAsia="宋体" w:cs="宋体"/>
                <w:b w:val="0"/>
                <w:bCs/>
                <w:sz w:val="21"/>
                <w:szCs w:val="21"/>
                <w:shd w:val="clear" w:color="auto" w:fill="FFFFFF"/>
                <w:lang w:val="en-US" w:eastAsia="zh-CN"/>
              </w:rPr>
              <w:t>建设内容</w:t>
            </w:r>
          </w:p>
          <w:p w14:paraId="24862039">
            <w:pPr>
              <w:pStyle w:val="2"/>
              <w:widowControl/>
              <w:shd w:val="clear" w:color="auto" w:fill="FFFFFF"/>
              <w:spacing w:before="0" w:beforeAutospacing="0" w:after="0" w:afterAutospacing="0" w:line="23" w:lineRule="atLeast"/>
              <w:jc w:val="center"/>
              <w:rPr>
                <w:rFonts w:hint="eastAsia" w:ascii="宋体" w:hAnsi="宋体" w:eastAsia="宋体" w:cs="宋体"/>
                <w:b w:val="0"/>
                <w:bCs/>
                <w:sz w:val="21"/>
                <w:szCs w:val="21"/>
                <w:shd w:val="clear" w:color="auto" w:fill="FFFFFF"/>
                <w:lang w:val="en-US" w:eastAsia="zh-CN"/>
              </w:rPr>
            </w:pPr>
            <w:r>
              <w:rPr>
                <w:rFonts w:hint="eastAsia" w:ascii="宋体" w:hAnsi="宋体" w:eastAsia="宋体" w:cs="宋体"/>
                <w:b w:val="0"/>
                <w:bCs/>
                <w:sz w:val="21"/>
                <w:szCs w:val="21"/>
                <w:shd w:val="clear" w:color="auto" w:fill="FFFFFF"/>
                <w:lang w:val="en-US" w:eastAsia="zh-CN"/>
              </w:rPr>
              <w:t>及功能</w:t>
            </w:r>
            <w:r>
              <w:rPr>
                <w:rFonts w:hint="eastAsia" w:ascii="宋体" w:hAnsi="宋体" w:eastAsia="宋体" w:cs="宋体"/>
                <w:b w:val="0"/>
                <w:bCs/>
                <w:sz w:val="21"/>
                <w:szCs w:val="21"/>
                <w:shd w:val="clear" w:color="auto" w:fill="FFFFFF"/>
              </w:rPr>
              <w:t>技术</w:t>
            </w:r>
            <w:r>
              <w:rPr>
                <w:rFonts w:hint="eastAsia" w:ascii="宋体" w:hAnsi="宋体" w:eastAsia="宋体" w:cs="宋体"/>
                <w:b w:val="0"/>
                <w:bCs/>
                <w:sz w:val="21"/>
                <w:szCs w:val="21"/>
                <w:shd w:val="clear" w:color="auto" w:fill="FFFFFF"/>
                <w:lang w:val="en-US" w:eastAsia="zh-CN"/>
              </w:rPr>
              <w:t>要求</w:t>
            </w:r>
          </w:p>
        </w:tc>
        <w:tc>
          <w:tcPr>
            <w:tcW w:w="7477" w:type="dxa"/>
          </w:tcPr>
          <w:p w14:paraId="04A80E0D">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医院医保内控自查分析管理平台的维保服务主要包括应用系统前端、后端、数据保护，系统升级。</w:t>
            </w:r>
          </w:p>
          <w:p w14:paraId="23022F7F">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服务内容包括日常运维服务、专业安全服务、性能监测服务等。</w:t>
            </w:r>
          </w:p>
          <w:p w14:paraId="4247D2D8">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1、例行维护及巡检</w:t>
            </w:r>
          </w:p>
          <w:p w14:paraId="3AA9C540">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每两个月巡检一次，例行维护内容包括：系统的功能增强性维护等应用软件系统扩充升级，保证维保服务的软件系统正常运行。</w:t>
            </w:r>
          </w:p>
          <w:p w14:paraId="57D5A936">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2、故障处理</w:t>
            </w:r>
          </w:p>
          <w:p w14:paraId="1BF13A9F">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提供全年7×24小时服务（电话、远程或现场），并在接到采购人通知后20分钟内响应，40分钟内到达现场，不涉及到硬件故障的软件故障在2小时内排除。</w:t>
            </w:r>
          </w:p>
          <w:p w14:paraId="31F117DD">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3、软件正确性维护</w:t>
            </w:r>
          </w:p>
          <w:p w14:paraId="3D6E682B">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对软件运行过程中发现的软件运行异常问题，乙方负责及时改进、升级系统和提供软件操作维护说明，并纳入保修范围。</w:t>
            </w:r>
          </w:p>
          <w:p w14:paraId="4088E282">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4、数据准确性维护</w:t>
            </w:r>
          </w:p>
          <w:p w14:paraId="6F5B2FD8">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对软件运行中涉及的业务数据、分析数据，乙方负责及时核对、整理，与院内各信息系统数据保持一致。</w:t>
            </w:r>
          </w:p>
          <w:p w14:paraId="2E254666">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▲5、系统升级</w:t>
            </w:r>
          </w:p>
          <w:p w14:paraId="4DCD530C">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在保修期内免费进行软件升级（不包含功能模块的增加）。</w:t>
            </w:r>
          </w:p>
          <w:p w14:paraId="3532D01C">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▲6、医疗保障基金结算审核子系统维保服务</w:t>
            </w:r>
          </w:p>
          <w:p w14:paraId="05F0EF57">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（1）医保违规审核规则库运行维保服务：</w:t>
            </w:r>
          </w:p>
          <w:p w14:paraId="4CCB74DC">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a、规则同步性维护，依照医保基金结算管理部门最新政策对系统内与医保结算审核规则进行同步更新；</w:t>
            </w:r>
          </w:p>
          <w:p w14:paraId="68C01B7A">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b、规则适用性维护，根据院内规则运行情况，对规则进行维护，以满足实际使用要求；</w:t>
            </w:r>
          </w:p>
          <w:p w14:paraId="253F9E12">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c、规则正确性维护，根据院内规则运行情况，对实际执行情况有偏差的规则进行维护，以保证规则正确性。</w:t>
            </w:r>
          </w:p>
          <w:p w14:paraId="790E2841">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（2）违规审核规则自定义维保服务：</w:t>
            </w:r>
          </w:p>
          <w:p w14:paraId="7707BE5A">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根据用户所提要求，提供违规审核规则的自定义编制服务。</w:t>
            </w:r>
          </w:p>
          <w:p w14:paraId="2DD386DD">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（3）病案违规审核及审核结果统计维保服务：</w:t>
            </w:r>
          </w:p>
          <w:p w14:paraId="49AF6C31">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a、历史病案审核维护，包含审结果核数据核对，病案数据核对，汇总金额核对，根据用户实际管理流程维护医保疑点问题申诉流程，以及根据用户需求进行导出文档的维护；</w:t>
            </w:r>
          </w:p>
          <w:p w14:paraId="4DD4A736">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b、归档病案定时审核维护，包含定时审核任务运行状况维护，审结果核数据核对，病案数据核对，汇总金额核对，根据用户实际管理流程维护医保疑点问题申诉流程，以及根据用户需求进行导出文档的维护；</w:t>
            </w:r>
          </w:p>
          <w:p w14:paraId="56B24CC5">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c、在院患者医保违规定时审核维护，包含定时审核任务运行状况维护，审结果核数据核对，病案数据核对，汇总金额核对，根据用户实际管理流程维护医保疑点问题申诉流程，以及根据用户需求进行导出文档的维护；</w:t>
            </w:r>
          </w:p>
          <w:p w14:paraId="1074716D">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d、医嘱违规定时审核维护，包含定时审核任务运行状况维护，审结果核数据核对，病案数据核对，汇总金额核对，根据用户实际管理流程维护医保疑点问题申诉流程，以及根据用户需求进行导出文档的维护；</w:t>
            </w:r>
          </w:p>
          <w:p w14:paraId="0584416A">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e、结算违规统计分析维护，包含审结果核数据核对，病案数据核对，汇总金额核对，据用户需求进行导出文档的维护，以及根据用户需求调整统计分析图表的服务；</w:t>
            </w:r>
          </w:p>
          <w:p w14:paraId="7508DBFD">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f、违规项目符合申诉维护，主要是根据用户实际管理流程维护医保疑点问题申诉流程的服务；</w:t>
            </w:r>
          </w:p>
          <w:p w14:paraId="0BD7BF72">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g、审核提醒综合查询维护，包含审结果核数据核对，病案数据核对，汇总金额核对，以及根据用户需求调整查询维度的服务。</w:t>
            </w:r>
          </w:p>
          <w:p w14:paraId="334A34C6">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（4）医保病案信息管理维保服务：</w:t>
            </w:r>
          </w:p>
          <w:p w14:paraId="7E1C4A5D">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a、数据准确性维护，软件运行中涉及的业务数据、分析数据，乙方负责及时核对、整理，与院内各信息系统数据保持一致；</w:t>
            </w:r>
          </w:p>
          <w:p w14:paraId="31932785">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b、展示内容维护，根据用户业务需求维护系统界面展示字段；</w:t>
            </w:r>
          </w:p>
          <w:p w14:paraId="690EA2FF">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c、统计分析功能维护，包含审结果核数据核对，病案数据核对，汇总金额核对，据用户需求进行导出文档的维护，以及根据用户需求调整统计分析图表的服务；</w:t>
            </w:r>
          </w:p>
          <w:p w14:paraId="56EC4CE3">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▲7、医院药品耗材溢库自查子系统维保服务</w:t>
            </w:r>
          </w:p>
          <w:p w14:paraId="0E1C3C8F">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（1）药品溢库历史数据分析维保服务：</w:t>
            </w:r>
          </w:p>
          <w:p w14:paraId="1010DFA3">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a、数据准确性维护，软件运行中涉及的业务数据、分析数据，乙方负责及时核对、整理，与院内各信息系统数据保持一致；</w:t>
            </w:r>
          </w:p>
          <w:p w14:paraId="15ED0DD5">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b、展示内容维护，根据用户业务需求维护系统界面展示字段；</w:t>
            </w:r>
          </w:p>
          <w:p w14:paraId="596C949D">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c、统计分析功能维护，包含审核结果数据核对，病案数据核对，汇总金额核对，据用户需求进行导出文档的维护，以及根据用户需求调整统计分析图表的服务。</w:t>
            </w:r>
          </w:p>
          <w:p w14:paraId="173D0450">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（2）药品溢库定时分析维保服务：</w:t>
            </w:r>
          </w:p>
          <w:p w14:paraId="7DFE52CF">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a、数据准确性维护，软件运行中涉及的业务数据、分析数据，乙方负责及时核对、整理，与院内各信息系统数据保持一致；</w:t>
            </w:r>
          </w:p>
          <w:p w14:paraId="615ED171">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b、展示内容维护，根据用户业务需求维护系统界面展示字段；</w:t>
            </w:r>
          </w:p>
          <w:p w14:paraId="0EA4BC3B">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c、统计分析功能维护，包含进销存数据核对，计算数据核对，汇总金额核对，据用户需求进行导出文档的维护，以及根据用户需求调整统计分析图表的服务。</w:t>
            </w:r>
          </w:p>
          <w:p w14:paraId="1607ECF0">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d、定时分析任务运行情况维护；</w:t>
            </w:r>
          </w:p>
          <w:p w14:paraId="2761F79F">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（3）药品编码智能匹配维护</w:t>
            </w:r>
          </w:p>
          <w:p w14:paraId="07760A7F">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a、数据准确性维护，软件运行中涉及的业务数据、分析数据，乙方负责及时核对、整理，与院内各信息系统数据保持一致；</w:t>
            </w:r>
          </w:p>
          <w:p w14:paraId="39EA97F9">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b、展示内容维护，根据用户业务需求维护系统界面展示字段；</w:t>
            </w:r>
          </w:p>
          <w:p w14:paraId="5E91B7D5">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c、统计分析功能维护，包含进销存数据核对，计算数据核对，汇总金额核对，据用户需求进行导出文档的维护，以及根据用户需求调整统计分析图表的服务。</w:t>
            </w:r>
          </w:p>
          <w:p w14:paraId="55DEC5CB">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（4）耗材溢库历史数据分析维保服务：</w:t>
            </w:r>
          </w:p>
          <w:p w14:paraId="3FBE5C45">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a、数据准确性维护，软件运行中涉及的业务数据、分析数据，乙方负责及时核对、整理，与院内各信息系统数据保持一致；</w:t>
            </w:r>
          </w:p>
          <w:p w14:paraId="50029C23">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b、展示内容维护，根据用户业务需求维护系统界面展示字段；</w:t>
            </w:r>
          </w:p>
          <w:p w14:paraId="65852ACB">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c、统计分析功能维护，包含审核结果数据核对，病案数据核对，汇总金额核对，据用户需求进行导出文档的维护，以及根据用户需求调整统计分析图表的服务。</w:t>
            </w:r>
          </w:p>
          <w:p w14:paraId="77B6D298">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（5）耗材溢库定时分析维保服务：</w:t>
            </w:r>
          </w:p>
          <w:p w14:paraId="69DDDA96">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a、数据准确性维护，软件运行中涉及的业务数据、分析数据，乙方负责及时核对、整理，与院内各信息系统数据保持一致；</w:t>
            </w:r>
          </w:p>
          <w:p w14:paraId="4D35249C">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b、展示内容维护，根据用户业务需求维护系统界面展示字段；</w:t>
            </w:r>
          </w:p>
          <w:p w14:paraId="72AB09BA">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c、统计分析功能维护，包含进销存数据核对，计算数据核对，汇总金额核对，据用户需求进行导出文档的维护，以及根据用户需求调整统计分析图表的服务。</w:t>
            </w:r>
          </w:p>
          <w:p w14:paraId="105B3A77">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d、定时分析任务运行情况维护；</w:t>
            </w:r>
          </w:p>
          <w:p w14:paraId="6AF7C30B">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（6）耗材编码智能匹配维护</w:t>
            </w:r>
          </w:p>
          <w:p w14:paraId="32E9711E">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a、数据准确性维护，软件运行中涉及的业务数据、分析数据，乙方负责及时核对、整理，与院内各信息系统数据保持一致；</w:t>
            </w:r>
          </w:p>
          <w:p w14:paraId="13C5C47D">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b、展示内容维护，根据用户业务需求维护系统界面展示字段；</w:t>
            </w:r>
          </w:p>
          <w:p w14:paraId="5D95A9D1">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c、统计分析功能维护，包含进销存数据核对，计算数据核对，汇总金额核对，据用户需求进行导出文档的维护，以及根据用户需求调整统计分析图表的服务。</w:t>
            </w:r>
          </w:p>
          <w:p w14:paraId="40902F59">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8、系统数据安全</w:t>
            </w:r>
          </w:p>
          <w:p w14:paraId="17106E13">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定期每两个月检查甲方数据备份、数据恢复和数据安全的措施及执行情况，对发现的问题提出整改建议，并记录检查情况。</w:t>
            </w:r>
          </w:p>
          <w:p w14:paraId="2D007757">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9、硬件维保</w:t>
            </w:r>
          </w:p>
          <w:p w14:paraId="1249E847">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定期每两个月检查甲方的服务器运行状况，对系统软件、服务器资源使用等进行检查，对发现的问题提出整改建议，并记录检查情况。</w:t>
            </w:r>
          </w:p>
          <w:p w14:paraId="726B774B">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10、数据库运行维保服务</w:t>
            </w:r>
          </w:p>
          <w:p w14:paraId="3719A3B7">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（1）数据库数据清理，定期清理运维过程中所产生的数据库中的临时表，从应用系统角度来优化数据库；</w:t>
            </w:r>
          </w:p>
          <w:p w14:paraId="02A0D090">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（2）数据库进行定期的现场检查，及时发现数据库运行中出现的隐患，通过系统调整等手段，减少数据库发生故障的概率，保证数据库稳定、高效运行；</w:t>
            </w:r>
          </w:p>
          <w:p w14:paraId="3832452A">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（3）数据库版本管理和软件补丁服务，软件补丁服务包含预防式补丁服务和响应式补丁服务；</w:t>
            </w:r>
          </w:p>
          <w:p w14:paraId="660B4B41">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4）数据库应急救援服务，在出现故障时，对系统提供故障诊断服务，并对紧急或严重的问题提供现场紧急救援及数据恢复服务，及时向采购单位提供故障诊断分析报告，并在报告中指出故障原因、解决办法及为防止类似故障出现而应采取的措施。</w:t>
            </w:r>
          </w:p>
          <w:p w14:paraId="0D541373">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11、系统接口维保服务</w:t>
            </w:r>
          </w:p>
          <w:p w14:paraId="5D3DFB88">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（1）医院医保内控自查分析平台数据对内部其他业务系统的接口服务维护。包括但不限于WEB应用数据接口维护。</w:t>
            </w:r>
          </w:p>
          <w:p w14:paraId="4CCC1E0D">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（2）提供数据接口权限访问维护服务。负责对相关应用系统对数据访问的权限进行维护。</w:t>
            </w:r>
          </w:p>
          <w:p w14:paraId="6A172E1F">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（3）提供新增应用数据接口维护服务。如需要新增相关的应用，负责新建相应的数据接口服务。</w:t>
            </w:r>
          </w:p>
          <w:p w14:paraId="5A5099CE">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（4）提供内部数据接口服务的修改完善维护服务。</w:t>
            </w:r>
          </w:p>
          <w:p w14:paraId="18973C8C">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（5）提供内部数据接口服务的升级维护服务。</w:t>
            </w:r>
          </w:p>
          <w:p w14:paraId="722B296E">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（6）提供内部数据接口服务扩充维护，如业务增加了，需提供对应增加的业务进行接口的扩充服务。</w:t>
            </w:r>
          </w:p>
          <w:p w14:paraId="03FAEAE6">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（7）提供内部数据接口服务技术维护记录档案。</w:t>
            </w:r>
          </w:p>
          <w:p w14:paraId="7D28CF73">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（8）提供内部数据接口服务维护工作在技术应用和业务管理上的建设性意见或经验。</w:t>
            </w:r>
          </w:p>
          <w:p w14:paraId="6F58268F">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▲12、技术培训</w:t>
            </w:r>
          </w:p>
          <w:p w14:paraId="3055580C">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提供该系统的全面技术培训，使甲方技术与业务专家能独立使用完成该系统的日常操作和相关维护</w:t>
            </w:r>
          </w:p>
          <w:p w14:paraId="50C3261E">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13、咨询服务</w:t>
            </w:r>
          </w:p>
          <w:p w14:paraId="57D7B1CE">
            <w:pPr>
              <w:pStyle w:val="15"/>
              <w:numPr>
                <w:ilvl w:val="0"/>
                <w:numId w:val="0"/>
              </w:numPr>
              <w:tabs>
                <w:tab w:val="left" w:pos="0"/>
              </w:tabs>
              <w:spacing w:line="360" w:lineRule="auto"/>
              <w:ind w:left="5" w:leftChars="0" w:firstLine="475" w:firstLineChars="0"/>
              <w:rPr>
                <w:rFonts w:hint="default" w:cs="宋体"/>
                <w:sz w:val="21"/>
                <w:szCs w:val="21"/>
                <w:lang w:val="en-US" w:eastAsia="zh-CN"/>
              </w:rPr>
            </w:pPr>
            <w:r>
              <w:rPr>
                <w:rFonts w:hint="default" w:cs="宋体"/>
                <w:sz w:val="21"/>
                <w:szCs w:val="21"/>
                <w:lang w:val="en-US" w:eastAsia="zh-CN"/>
              </w:rPr>
              <w:t>对系统的改造、拓展、调整、咨询提供技术支持。</w:t>
            </w:r>
          </w:p>
        </w:tc>
      </w:tr>
      <w:tr w14:paraId="30E18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49" w:type="dxa"/>
            <w:vAlign w:val="center"/>
          </w:tcPr>
          <w:p w14:paraId="6603C558">
            <w:pPr>
              <w:pStyle w:val="2"/>
              <w:widowControl/>
              <w:shd w:val="clear" w:color="auto" w:fill="FFFFFF"/>
              <w:spacing w:before="0" w:beforeAutospacing="0" w:after="0" w:afterAutospacing="0" w:line="23" w:lineRule="atLeast"/>
              <w:jc w:val="center"/>
              <w:rPr>
                <w:rFonts w:hint="eastAsia" w:ascii="宋体" w:hAnsi="宋体" w:eastAsia="宋体" w:cs="宋体"/>
                <w:b w:val="0"/>
                <w:bCs/>
                <w:sz w:val="21"/>
                <w:szCs w:val="21"/>
                <w:shd w:val="clear" w:color="auto" w:fill="FFFFFF"/>
                <w:lang w:val="en-US" w:eastAsia="zh-CN"/>
              </w:rPr>
            </w:pPr>
            <w:r>
              <w:rPr>
                <w:rFonts w:hint="eastAsia" w:ascii="宋体" w:hAnsi="宋体" w:eastAsia="宋体" w:cs="宋体"/>
                <w:b w:val="0"/>
                <w:bCs/>
                <w:sz w:val="21"/>
                <w:szCs w:val="21"/>
                <w:shd w:val="clear" w:color="auto" w:fill="FFFFFF"/>
                <w:lang w:val="en-US" w:eastAsia="zh-CN"/>
              </w:rPr>
              <w:t>硬件设施要求</w:t>
            </w:r>
          </w:p>
        </w:tc>
        <w:tc>
          <w:tcPr>
            <w:tcW w:w="7477" w:type="dxa"/>
          </w:tcPr>
          <w:p w14:paraId="39B6B243">
            <w:pPr>
              <w:jc w:val="left"/>
              <w:rPr>
                <w:rFonts w:hint="default" w:ascii="宋体" w:hAnsi="宋体" w:eastAsia="宋体" w:cs="宋体"/>
                <w:sz w:val="21"/>
                <w:szCs w:val="21"/>
                <w:lang w:val="en-US" w:eastAsia="zh-CN"/>
              </w:rPr>
            </w:pPr>
            <w:r>
              <w:rPr>
                <w:rFonts w:hint="eastAsia" w:ascii="宋体" w:hAnsi="宋体" w:cs="宋体"/>
                <w:sz w:val="21"/>
                <w:szCs w:val="21"/>
                <w:lang w:val="en-US" w:eastAsia="zh-CN"/>
              </w:rPr>
              <w:t>系统已部署在位于院内机房的服务器，通过医院内网和院内其他信息系统互联互通</w:t>
            </w:r>
          </w:p>
        </w:tc>
      </w:tr>
      <w:tr w14:paraId="7AB94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2349" w:type="dxa"/>
            <w:vAlign w:val="center"/>
          </w:tcPr>
          <w:p w14:paraId="5607642D">
            <w:pPr>
              <w:pStyle w:val="2"/>
              <w:widowControl/>
              <w:shd w:val="clear" w:color="auto" w:fill="FFFFFF"/>
              <w:spacing w:before="0" w:beforeAutospacing="0" w:after="0" w:afterAutospacing="0" w:line="23" w:lineRule="atLeast"/>
              <w:jc w:val="center"/>
              <w:rPr>
                <w:rFonts w:hint="eastAsia" w:ascii="宋体" w:hAnsi="宋体" w:eastAsia="宋体" w:cs="宋体"/>
                <w:b w:val="0"/>
                <w:bCs/>
                <w:sz w:val="21"/>
                <w:szCs w:val="21"/>
                <w:shd w:val="clear" w:color="auto" w:fill="FFFFFF"/>
                <w:lang w:val="en-US" w:eastAsia="zh-CN"/>
              </w:rPr>
            </w:pPr>
            <w:r>
              <w:rPr>
                <w:rFonts w:hint="eastAsia" w:ascii="宋体" w:hAnsi="宋体" w:eastAsia="宋体" w:cs="宋体"/>
                <w:b w:val="0"/>
                <w:bCs/>
                <w:sz w:val="21"/>
                <w:szCs w:val="21"/>
                <w:shd w:val="clear" w:color="auto" w:fill="FFFFFF"/>
                <w:lang w:val="en-US" w:eastAsia="zh-CN"/>
              </w:rPr>
              <w:t>与其他系统的集成要求</w:t>
            </w:r>
          </w:p>
        </w:tc>
        <w:tc>
          <w:tcPr>
            <w:tcW w:w="7477" w:type="dxa"/>
          </w:tcPr>
          <w:p w14:paraId="749B091B">
            <w:pPr>
              <w:jc w:val="both"/>
              <w:rPr>
                <w:rFonts w:hint="default" w:ascii="宋体" w:hAnsi="宋体" w:eastAsia="宋体" w:cs="宋体"/>
                <w:sz w:val="21"/>
                <w:szCs w:val="21"/>
                <w:lang w:val="en-US" w:eastAsia="zh-CN"/>
              </w:rPr>
            </w:pPr>
            <w:r>
              <w:rPr>
                <w:rFonts w:hint="eastAsia" w:ascii="宋体" w:hAnsi="宋体" w:cs="宋体"/>
                <w:sz w:val="21"/>
                <w:szCs w:val="21"/>
                <w:lang w:val="en-US" w:eastAsia="zh-CN"/>
              </w:rPr>
              <w:t>系统已通过数据接口对接HIS系统，并在医生工作站、护士工作站、病案首页系统嵌入分析界面</w:t>
            </w:r>
          </w:p>
        </w:tc>
      </w:tr>
      <w:tr w14:paraId="2A7EC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49" w:type="dxa"/>
            <w:vAlign w:val="center"/>
          </w:tcPr>
          <w:p w14:paraId="5C88DCDA">
            <w:pPr>
              <w:pStyle w:val="2"/>
              <w:widowControl/>
              <w:shd w:val="clear" w:color="auto" w:fill="FFFFFF"/>
              <w:spacing w:before="0" w:beforeAutospacing="0" w:after="0" w:afterAutospacing="0" w:line="23" w:lineRule="atLeast"/>
              <w:jc w:val="center"/>
              <w:rPr>
                <w:rFonts w:hint="eastAsia" w:ascii="宋体" w:hAnsi="宋体" w:eastAsia="宋体" w:cs="宋体"/>
                <w:b w:val="0"/>
                <w:bCs/>
                <w:sz w:val="21"/>
                <w:szCs w:val="21"/>
                <w:shd w:val="clear" w:color="auto" w:fill="FFFFFF"/>
                <w:lang w:val="en-US" w:eastAsia="zh-CN"/>
              </w:rPr>
            </w:pPr>
            <w:r>
              <w:rPr>
                <w:rFonts w:hint="eastAsia" w:ascii="宋体" w:hAnsi="宋体" w:eastAsia="宋体" w:cs="宋体"/>
                <w:b w:val="0"/>
                <w:bCs/>
                <w:sz w:val="21"/>
                <w:szCs w:val="21"/>
                <w:shd w:val="clear" w:color="auto" w:fill="FFFFFF"/>
                <w:lang w:val="en-US" w:eastAsia="zh-CN"/>
              </w:rPr>
              <w:t>安全性与权限控制要求</w:t>
            </w:r>
          </w:p>
        </w:tc>
        <w:tc>
          <w:tcPr>
            <w:tcW w:w="7477" w:type="dxa"/>
          </w:tcPr>
          <w:p w14:paraId="3AADF6C5">
            <w:pPr>
              <w:jc w:val="left"/>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1. 数据安全保障：医保数据全程加密存储与传输，本地部署不泄露，杜绝敏感信息外泄，适配医院数据安全管理规范。</w:t>
            </w:r>
          </w:p>
          <w:p w14:paraId="54112CE0">
            <w:pPr>
              <w:jc w:val="left"/>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2. 分级权限管控：按“院级-科室级-医生级”分层授权，院级负责规则配置，科室级审核本部门数据，医生级仅查看本人</w:t>
            </w:r>
            <w:r>
              <w:rPr>
                <w:rFonts w:hint="eastAsia" w:ascii="宋体" w:hAnsi="宋体" w:cs="宋体"/>
                <w:sz w:val="21"/>
                <w:szCs w:val="21"/>
                <w:lang w:val="en-US" w:eastAsia="zh-CN"/>
              </w:rPr>
              <w:t>相关病例数据</w:t>
            </w:r>
            <w:r>
              <w:rPr>
                <w:rFonts w:hint="default" w:ascii="宋体" w:hAnsi="宋体" w:eastAsia="宋体" w:cs="宋体"/>
                <w:sz w:val="21"/>
                <w:szCs w:val="21"/>
                <w:lang w:val="en-US" w:eastAsia="zh-CN"/>
              </w:rPr>
              <w:t>，权限精准闭环。</w:t>
            </w:r>
          </w:p>
          <w:p w14:paraId="1B424860">
            <w:pPr>
              <w:jc w:val="left"/>
              <w:rPr>
                <w:rFonts w:hint="default" w:ascii="宋体" w:hAnsi="宋体" w:eastAsia="宋体" w:cs="宋体"/>
                <w:sz w:val="21"/>
                <w:szCs w:val="21"/>
                <w:lang w:val="en-US" w:eastAsia="zh-CN"/>
              </w:rPr>
            </w:pPr>
            <w:r>
              <w:rPr>
                <w:rFonts w:hint="eastAsia" w:ascii="宋体" w:hAnsi="宋体" w:cs="宋体"/>
                <w:sz w:val="21"/>
                <w:szCs w:val="21"/>
                <w:lang w:val="en-US" w:eastAsia="zh-CN"/>
              </w:rPr>
              <w:t>3</w:t>
            </w:r>
            <w:r>
              <w:rPr>
                <w:rFonts w:hint="default" w:ascii="宋体" w:hAnsi="宋体" w:eastAsia="宋体" w:cs="宋体"/>
                <w:sz w:val="21"/>
                <w:szCs w:val="21"/>
                <w:lang w:val="en-US" w:eastAsia="zh-CN"/>
              </w:rPr>
              <w:t>. 权限动态管理：人员岗位变动时，</w:t>
            </w:r>
            <w:r>
              <w:rPr>
                <w:rFonts w:hint="eastAsia" w:ascii="宋体" w:hAnsi="宋体" w:cs="宋体"/>
                <w:sz w:val="21"/>
                <w:szCs w:val="21"/>
                <w:lang w:val="en-US" w:eastAsia="zh-CN"/>
              </w:rPr>
              <w:t>及时</w:t>
            </w:r>
            <w:r>
              <w:rPr>
                <w:rFonts w:hint="default" w:ascii="宋体" w:hAnsi="宋体" w:eastAsia="宋体" w:cs="宋体"/>
                <w:sz w:val="21"/>
                <w:szCs w:val="21"/>
                <w:lang w:val="en-US" w:eastAsia="zh-CN"/>
              </w:rPr>
              <w:t>完成权限调整或注销，杜绝权限闲置、滥用，同步医院人事变动流程。</w:t>
            </w:r>
          </w:p>
        </w:tc>
      </w:tr>
      <w:tr w14:paraId="06683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8" w:hRule="atLeast"/>
        </w:trPr>
        <w:tc>
          <w:tcPr>
            <w:tcW w:w="2349" w:type="dxa"/>
            <w:vAlign w:val="center"/>
          </w:tcPr>
          <w:p w14:paraId="6FCA8396">
            <w:pPr>
              <w:pStyle w:val="2"/>
              <w:widowControl/>
              <w:shd w:val="clear" w:color="auto" w:fill="FFFFFF"/>
              <w:spacing w:before="0" w:beforeAutospacing="0" w:after="0" w:afterAutospacing="0" w:line="23" w:lineRule="atLeast"/>
              <w:jc w:val="center"/>
              <w:rPr>
                <w:rFonts w:hint="default" w:ascii="宋体" w:hAnsi="宋体" w:eastAsia="宋体" w:cs="宋体"/>
                <w:b w:val="0"/>
                <w:bCs/>
                <w:sz w:val="21"/>
                <w:szCs w:val="21"/>
                <w:shd w:val="clear" w:color="auto" w:fill="FFFFFF"/>
                <w:lang w:val="en-US" w:eastAsia="zh-CN"/>
              </w:rPr>
            </w:pPr>
            <w:r>
              <w:rPr>
                <w:rFonts w:hint="eastAsia" w:cs="宋体"/>
                <w:b w:val="0"/>
                <w:bCs/>
                <w:sz w:val="21"/>
                <w:szCs w:val="21"/>
                <w:shd w:val="clear" w:color="auto" w:fill="FFFFFF"/>
                <w:lang w:val="en-US" w:eastAsia="zh-CN"/>
              </w:rPr>
              <w:t>商务要求</w:t>
            </w:r>
          </w:p>
        </w:tc>
        <w:tc>
          <w:tcPr>
            <w:tcW w:w="7477" w:type="dxa"/>
          </w:tcPr>
          <w:p w14:paraId="5BFC5009">
            <w:pPr>
              <w:pStyle w:val="15"/>
              <w:numPr>
                <w:ilvl w:val="0"/>
                <w:numId w:val="0"/>
              </w:numPr>
              <w:tabs>
                <w:tab w:val="left" w:pos="0"/>
              </w:tabs>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▲一、合同签订期：自中标通知书发出之日起 25 日历日内（注：中标通知书发出之日起25日历日内必须签订合同。）</w:t>
            </w:r>
          </w:p>
          <w:p w14:paraId="435BF849">
            <w:pPr>
              <w:pStyle w:val="15"/>
              <w:numPr>
                <w:ilvl w:val="0"/>
                <w:numId w:val="0"/>
              </w:numPr>
              <w:tabs>
                <w:tab w:val="left" w:pos="0"/>
              </w:tabs>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二、交货期：合同签订之日起开始服务。</w:t>
            </w:r>
          </w:p>
          <w:p w14:paraId="5E08BBE2">
            <w:pPr>
              <w:pStyle w:val="15"/>
              <w:numPr>
                <w:ilvl w:val="0"/>
                <w:numId w:val="0"/>
              </w:numPr>
              <w:tabs>
                <w:tab w:val="left" w:pos="0"/>
              </w:tabs>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三、交货地点： 采购人指定地点  </w:t>
            </w:r>
          </w:p>
          <w:p w14:paraId="6FA1763D">
            <w:pPr>
              <w:pStyle w:val="15"/>
              <w:numPr>
                <w:ilvl w:val="0"/>
                <w:numId w:val="0"/>
              </w:numPr>
              <w:tabs>
                <w:tab w:val="left" w:pos="0"/>
              </w:tabs>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四、验收标准、规范：符合行业标准</w:t>
            </w:r>
          </w:p>
          <w:p w14:paraId="68BD9BFD">
            <w:pPr>
              <w:pStyle w:val="15"/>
              <w:numPr>
                <w:ilvl w:val="0"/>
                <w:numId w:val="0"/>
              </w:numPr>
              <w:tabs>
                <w:tab w:val="left" w:pos="0"/>
              </w:tabs>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五、其他要求：</w:t>
            </w:r>
          </w:p>
          <w:p w14:paraId="02378B4B">
            <w:pPr>
              <w:pStyle w:val="15"/>
              <w:numPr>
                <w:ilvl w:val="0"/>
                <w:numId w:val="0"/>
              </w:numPr>
              <w:tabs>
                <w:tab w:val="left" w:pos="0"/>
              </w:tabs>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1、报价必须含以下部分，包括：</w:t>
            </w:r>
          </w:p>
          <w:p w14:paraId="70E35FCD">
            <w:pPr>
              <w:pStyle w:val="15"/>
              <w:numPr>
                <w:ilvl w:val="0"/>
                <w:numId w:val="0"/>
              </w:numPr>
              <w:tabs>
                <w:tab w:val="left" w:pos="0"/>
              </w:tabs>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（1）服务的价格；</w:t>
            </w:r>
          </w:p>
          <w:p w14:paraId="4E912C33">
            <w:pPr>
              <w:pStyle w:val="15"/>
              <w:numPr>
                <w:ilvl w:val="0"/>
                <w:numId w:val="0"/>
              </w:numPr>
              <w:tabs>
                <w:tab w:val="left" w:pos="0"/>
              </w:tabs>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（2）必要的保险费用和各项税金；</w:t>
            </w:r>
          </w:p>
          <w:p w14:paraId="2B8F1BEB">
            <w:pPr>
              <w:pStyle w:val="15"/>
              <w:numPr>
                <w:ilvl w:val="0"/>
                <w:numId w:val="0"/>
              </w:numPr>
              <w:tabs>
                <w:tab w:val="left" w:pos="0"/>
              </w:tabs>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▲2、付款方式：</w:t>
            </w:r>
          </w:p>
          <w:p w14:paraId="4A9457DE">
            <w:pPr>
              <w:pStyle w:val="15"/>
              <w:numPr>
                <w:ilvl w:val="0"/>
                <w:numId w:val="0"/>
              </w:numPr>
              <w:tabs>
                <w:tab w:val="left" w:pos="0"/>
              </w:tabs>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无预付款，成交人完成所有服务需求内容，采购人凭成交人提交的</w:t>
            </w:r>
            <w:r>
              <w:rPr>
                <w:rFonts w:hint="eastAsia" w:cs="宋体"/>
                <w:sz w:val="21"/>
                <w:szCs w:val="21"/>
                <w:lang w:val="en-US" w:eastAsia="zh-CN"/>
              </w:rPr>
              <w:t>维保记录、</w:t>
            </w:r>
            <w:r>
              <w:rPr>
                <w:rFonts w:hint="eastAsia" w:ascii="宋体" w:hAnsi="宋体" w:eastAsia="宋体" w:cs="宋体"/>
                <w:sz w:val="21"/>
                <w:szCs w:val="21"/>
                <w:lang w:val="en-US" w:eastAsia="zh-CN"/>
              </w:rPr>
              <w:t>请款函、开具全额发票之日起60日内向双方合同约定的银行账户支付款项。如因成交人未及时提交</w:t>
            </w:r>
            <w:r>
              <w:rPr>
                <w:rFonts w:hint="eastAsia" w:cs="宋体"/>
                <w:sz w:val="21"/>
                <w:szCs w:val="21"/>
                <w:lang w:val="en-US" w:eastAsia="zh-CN"/>
              </w:rPr>
              <w:t>维保记录、</w:t>
            </w:r>
            <w:bookmarkStart w:id="0" w:name="_GoBack"/>
            <w:bookmarkEnd w:id="0"/>
            <w:r>
              <w:rPr>
                <w:rFonts w:hint="eastAsia" w:ascii="宋体" w:hAnsi="宋体" w:eastAsia="宋体" w:cs="宋体"/>
                <w:sz w:val="21"/>
                <w:szCs w:val="21"/>
                <w:lang w:val="en-US" w:eastAsia="zh-CN"/>
              </w:rPr>
              <w:t>请款函和发票导致付款延期的，由成交人承担相应责任。</w:t>
            </w:r>
          </w:p>
        </w:tc>
      </w:tr>
    </w:tbl>
    <w:p w14:paraId="2456B2B9">
      <w:pPr>
        <w:rPr>
          <w:rFonts w:hint="eastAsia" w:ascii="仿宋_GB2312" w:hAnsi="仿宋_GB2312"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D04"/>
    <w:rsid w:val="003027F5"/>
    <w:rsid w:val="00663F69"/>
    <w:rsid w:val="00783CAB"/>
    <w:rsid w:val="007F3D04"/>
    <w:rsid w:val="00CD1532"/>
    <w:rsid w:val="00F3008E"/>
    <w:rsid w:val="06B34F7C"/>
    <w:rsid w:val="07291B3C"/>
    <w:rsid w:val="0D187F42"/>
    <w:rsid w:val="0E172E1A"/>
    <w:rsid w:val="0F052A35"/>
    <w:rsid w:val="187C5BAA"/>
    <w:rsid w:val="192D5062"/>
    <w:rsid w:val="22D57694"/>
    <w:rsid w:val="248636AC"/>
    <w:rsid w:val="28AC5FA3"/>
    <w:rsid w:val="2AE13EFE"/>
    <w:rsid w:val="2C626A16"/>
    <w:rsid w:val="3233165F"/>
    <w:rsid w:val="327F3C00"/>
    <w:rsid w:val="35B0425D"/>
    <w:rsid w:val="3B5C30E9"/>
    <w:rsid w:val="410A4269"/>
    <w:rsid w:val="414C3A28"/>
    <w:rsid w:val="445E38A7"/>
    <w:rsid w:val="457B0D80"/>
    <w:rsid w:val="48F12B14"/>
    <w:rsid w:val="4DA94B26"/>
    <w:rsid w:val="4DD802BF"/>
    <w:rsid w:val="4E1C1427"/>
    <w:rsid w:val="58457AA1"/>
    <w:rsid w:val="58F130E8"/>
    <w:rsid w:val="5A896623"/>
    <w:rsid w:val="64F775D6"/>
    <w:rsid w:val="66C92A6C"/>
    <w:rsid w:val="67D363A2"/>
    <w:rsid w:val="69EA5DD9"/>
    <w:rsid w:val="69F25F25"/>
    <w:rsid w:val="6B705AE9"/>
    <w:rsid w:val="6C6E48EB"/>
    <w:rsid w:val="6DE03A44"/>
    <w:rsid w:val="6F002FD3"/>
    <w:rsid w:val="6FDE3B35"/>
    <w:rsid w:val="74F00593"/>
    <w:rsid w:val="790A575E"/>
    <w:rsid w:val="7B574940"/>
    <w:rsid w:val="7CAC5365"/>
    <w:rsid w:val="7EF1448E"/>
    <w:rsid w:val="7FE53B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pPr>
      <w:spacing w:after="120"/>
    </w:pPr>
  </w:style>
  <w:style w:type="paragraph" w:styleId="6">
    <w:name w:val="footer"/>
    <w:basedOn w:val="1"/>
    <w:link w:val="14"/>
    <w:qFormat/>
    <w:uiPriority w:val="0"/>
    <w:pPr>
      <w:tabs>
        <w:tab w:val="center" w:pos="4153"/>
        <w:tab w:val="right" w:pos="8306"/>
      </w:tabs>
      <w:snapToGrid w:val="0"/>
      <w:spacing w:line="240" w:lineRule="auto"/>
      <w:jc w:val="left"/>
    </w:pPr>
    <w:rPr>
      <w:sz w:val="18"/>
      <w:szCs w:val="18"/>
    </w:rPr>
  </w:style>
  <w:style w:type="paragraph" w:styleId="7">
    <w:name w:val="header"/>
    <w:basedOn w:val="1"/>
    <w:link w:val="13"/>
    <w:qFormat/>
    <w:uiPriority w:val="0"/>
    <w:pPr>
      <w:tabs>
        <w:tab w:val="center" w:pos="4153"/>
        <w:tab w:val="right" w:pos="8306"/>
      </w:tabs>
      <w:snapToGrid w:val="0"/>
      <w:spacing w:line="240" w:lineRule="auto"/>
      <w:jc w:val="center"/>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customStyle="1" w:styleId="13">
    <w:name w:val="页眉 字符"/>
    <w:basedOn w:val="11"/>
    <w:link w:val="7"/>
    <w:qFormat/>
    <w:uiPriority w:val="0"/>
    <w:rPr>
      <w:rFonts w:ascii="Calibri" w:hAnsi="Calibri"/>
      <w:kern w:val="2"/>
      <w:sz w:val="18"/>
      <w:szCs w:val="18"/>
    </w:rPr>
  </w:style>
  <w:style w:type="character" w:customStyle="1" w:styleId="14">
    <w:name w:val="页脚 字符"/>
    <w:basedOn w:val="11"/>
    <w:link w:val="6"/>
    <w:qFormat/>
    <w:uiPriority w:val="0"/>
    <w:rPr>
      <w:rFonts w:ascii="Calibri" w:hAnsi="Calibri"/>
      <w:kern w:val="2"/>
      <w:sz w:val="18"/>
      <w:szCs w:val="18"/>
    </w:rPr>
  </w:style>
  <w:style w:type="paragraph" w:customStyle="1" w:styleId="15">
    <w:name w:val="列出段落1"/>
    <w:basedOn w:val="1"/>
    <w:qFormat/>
    <w:uiPriority w:val="34"/>
    <w:pPr>
      <w:widowControl/>
      <w:ind w:firstLine="420" w:firstLineChars="200"/>
      <w:jc w:val="left"/>
    </w:pPr>
    <w:rPr>
      <w:rFonts w:ascii="宋体" w:hAnsi="宋体" w:cs="宋体"/>
      <w:kern w:val="0"/>
      <w:sz w:val="24"/>
      <w:szCs w:val="24"/>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6848</Words>
  <Characters>6932</Characters>
  <Lines>1</Lines>
  <Paragraphs>1</Paragraphs>
  <TotalTime>3</TotalTime>
  <ScaleCrop>false</ScaleCrop>
  <LinksUpToDate>false</LinksUpToDate>
  <CharactersWithSpaces>7094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2025-02-18T08:48:00Z</dcterms:created>
  <dc:creator>Administrator</dc:creator>
  <cp:lastModifiedBy>微信用户</cp:lastModifiedBy>
  <cp:lastPrinted>2025-06-22T06:29:00Z</cp:lastPrinted>
  <dcterms:modified xsi:type="dcterms:W3CDTF">2026-03-19T13:10:49Z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eyJoZGlkIjoiZTRiNjVhYTllYWUwMDIyODUxNzkzMTBjY2I5MDk3ZmUiLCJ1c2VySWQiOiIxMjczMDI1NTE1In0=</vt:lpwstr>
  </property>
  <property fmtid="{D5CDD505-2E9C-101B-9397-08002B2CF9AE}" pid="4" name="ICV">
    <vt:lpwstr>6DCA7D3B409B48FDB2D9C9AD998A7DA4_13</vt:lpwstr>
  </property>
</Properties>
</file>