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BF9D5">
      <w:pPr>
        <w:jc w:val="center"/>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rPr>
        <w:t>信息</w:t>
      </w:r>
      <w:r>
        <w:rPr>
          <w:rFonts w:hint="eastAsia" w:ascii="方正小标宋简体" w:hAnsi="方正小标宋简体" w:eastAsia="方正小标宋简体" w:cs="方正小标宋简体"/>
          <w:sz w:val="36"/>
          <w:szCs w:val="36"/>
          <w:lang w:val="en-US" w:eastAsia="zh-CN"/>
        </w:rPr>
        <w:t>系统</w:t>
      </w:r>
      <w:r>
        <w:rPr>
          <w:rFonts w:hint="eastAsia" w:ascii="方正小标宋简体" w:hAnsi="方正小标宋简体" w:eastAsia="方正小标宋简体" w:cs="方正小标宋简体"/>
          <w:sz w:val="36"/>
          <w:szCs w:val="36"/>
        </w:rPr>
        <w:t>项目需求</w:t>
      </w:r>
      <w:r>
        <w:rPr>
          <w:rFonts w:hint="eastAsia" w:ascii="方正小标宋简体" w:hAnsi="方正小标宋简体" w:eastAsia="方正小标宋简体" w:cs="方正小标宋简体"/>
          <w:sz w:val="36"/>
          <w:szCs w:val="36"/>
          <w:lang w:val="en-US" w:eastAsia="zh-CN"/>
        </w:rPr>
        <w:t>说明</w:t>
      </w:r>
    </w:p>
    <w:tbl>
      <w:tblPr>
        <w:tblStyle w:val="13"/>
        <w:tblW w:w="9826"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9"/>
        <w:gridCol w:w="7477"/>
      </w:tblGrid>
      <w:tr w14:paraId="29876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349" w:type="dxa"/>
            <w:vAlign w:val="center"/>
          </w:tcPr>
          <w:p w14:paraId="6F84F7D6">
            <w:pPr>
              <w:pStyle w:val="3"/>
              <w:widowControl/>
              <w:shd w:val="clear" w:color="auto" w:fill="FFFFFF"/>
              <w:spacing w:before="0" w:beforeAutospacing="0" w:after="0" w:afterAutospacing="0" w:line="23" w:lineRule="atLeast"/>
              <w:jc w:val="center"/>
              <w:rPr>
                <w:rFonts w:hint="eastAsia" w:ascii="宋体" w:hAnsi="宋体" w:eastAsia="宋体" w:cs="宋体"/>
                <w:sz w:val="21"/>
                <w:szCs w:val="21"/>
              </w:rPr>
            </w:pPr>
            <w:r>
              <w:rPr>
                <w:rFonts w:hint="eastAsia" w:ascii="宋体" w:hAnsi="宋体" w:eastAsia="宋体" w:cs="宋体"/>
                <w:b w:val="0"/>
                <w:sz w:val="21"/>
                <w:szCs w:val="21"/>
              </w:rPr>
              <w:t>项目名称</w:t>
            </w:r>
          </w:p>
        </w:tc>
        <w:tc>
          <w:tcPr>
            <w:tcW w:w="7477" w:type="dxa"/>
            <w:vAlign w:val="center"/>
          </w:tcPr>
          <w:p w14:paraId="5B24B02C">
            <w:pPr>
              <w:pStyle w:val="3"/>
              <w:widowControl/>
              <w:shd w:val="clear" w:color="auto" w:fill="FFFFFF"/>
              <w:spacing w:before="0" w:beforeAutospacing="0" w:after="0" w:afterAutospacing="0" w:line="23" w:lineRule="atLeast"/>
              <w:jc w:val="center"/>
              <w:rPr>
                <w:rFonts w:hint="default" w:ascii="宋体" w:hAnsi="宋体" w:eastAsia="宋体" w:cs="宋体"/>
                <w:b w:val="0"/>
                <w:bCs/>
                <w:sz w:val="21"/>
                <w:szCs w:val="21"/>
                <w:shd w:val="clear" w:color="auto" w:fill="FFFFFF"/>
                <w:lang w:val="en-US" w:eastAsia="zh-CN"/>
              </w:rPr>
            </w:pPr>
            <w:r>
              <w:rPr>
                <w:rFonts w:hint="default" w:ascii="宋体" w:hAnsi="宋体" w:eastAsia="宋体" w:cs="宋体"/>
                <w:b w:val="0"/>
                <w:bCs/>
                <w:sz w:val="21"/>
                <w:szCs w:val="21"/>
                <w:shd w:val="clear" w:color="auto" w:fill="FFFFFF"/>
                <w:lang w:val="en-US" w:eastAsia="zh-CN"/>
              </w:rPr>
              <w:t>科技创新一体化管理系统</w:t>
            </w:r>
          </w:p>
        </w:tc>
      </w:tr>
      <w:tr w14:paraId="2E21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8" w:hRule="atLeast"/>
        </w:trPr>
        <w:tc>
          <w:tcPr>
            <w:tcW w:w="2349" w:type="dxa"/>
            <w:vAlign w:val="center"/>
          </w:tcPr>
          <w:p w14:paraId="4B954EC3">
            <w:pPr>
              <w:pStyle w:val="3"/>
              <w:widowControl/>
              <w:shd w:val="clear" w:color="auto" w:fill="FFFFFF"/>
              <w:spacing w:before="0" w:beforeAutospacing="0" w:after="0" w:afterAutospacing="0" w:line="23" w:lineRule="atLeast"/>
              <w:jc w:val="center"/>
              <w:rPr>
                <w:rFonts w:hint="eastAsia" w:ascii="宋体" w:hAnsi="宋体" w:eastAsia="宋体" w:cs="宋体"/>
                <w:b w:val="0"/>
                <w:bCs/>
                <w:sz w:val="21"/>
                <w:szCs w:val="21"/>
                <w:shd w:val="clear" w:color="auto" w:fill="FFFFFF"/>
                <w:lang w:val="en-US" w:eastAsia="zh-CN"/>
              </w:rPr>
            </w:pPr>
            <w:bookmarkStart w:id="0" w:name="_GoBack"/>
            <w:bookmarkEnd w:id="0"/>
            <w:r>
              <w:rPr>
                <w:rFonts w:hint="eastAsia" w:cs="宋体"/>
                <w:b w:val="0"/>
                <w:bCs/>
                <w:sz w:val="21"/>
                <w:szCs w:val="21"/>
                <w:shd w:val="clear" w:color="auto" w:fill="FFFFFF"/>
                <w:lang w:val="en-US" w:eastAsia="zh-CN"/>
              </w:rPr>
              <w:t>△</w:t>
            </w:r>
            <w:r>
              <w:rPr>
                <w:rFonts w:hint="eastAsia" w:ascii="宋体" w:hAnsi="宋体" w:eastAsia="宋体" w:cs="宋体"/>
                <w:b w:val="0"/>
                <w:bCs/>
                <w:sz w:val="21"/>
                <w:szCs w:val="21"/>
                <w:shd w:val="clear" w:color="auto" w:fill="FFFFFF"/>
                <w:lang w:val="en-US" w:eastAsia="zh-CN"/>
              </w:rPr>
              <w:t>建设内容</w:t>
            </w:r>
          </w:p>
          <w:p w14:paraId="24862039">
            <w:pPr>
              <w:pStyle w:val="3"/>
              <w:widowControl/>
              <w:shd w:val="clear" w:color="auto" w:fill="FFFFFF"/>
              <w:spacing w:before="0" w:beforeAutospacing="0" w:after="0" w:afterAutospacing="0" w:line="23" w:lineRule="atLeast"/>
              <w:jc w:val="center"/>
              <w:rPr>
                <w:rFonts w:hint="eastAsia" w:ascii="宋体" w:hAnsi="宋体" w:eastAsia="宋体" w:cs="宋体"/>
                <w:b w:val="0"/>
                <w:bCs/>
                <w:sz w:val="21"/>
                <w:szCs w:val="21"/>
                <w:shd w:val="clear" w:color="auto" w:fill="FFFFFF"/>
                <w:lang w:val="en-US" w:eastAsia="zh-CN"/>
              </w:rPr>
            </w:pPr>
            <w:r>
              <w:rPr>
                <w:rFonts w:hint="eastAsia" w:ascii="宋体" w:hAnsi="宋体" w:eastAsia="宋体" w:cs="宋体"/>
                <w:b w:val="0"/>
                <w:bCs/>
                <w:sz w:val="21"/>
                <w:szCs w:val="21"/>
                <w:shd w:val="clear" w:color="auto" w:fill="FFFFFF"/>
                <w:lang w:val="en-US" w:eastAsia="zh-CN"/>
              </w:rPr>
              <w:t>及功能</w:t>
            </w:r>
            <w:r>
              <w:rPr>
                <w:rFonts w:hint="eastAsia" w:ascii="宋体" w:hAnsi="宋体" w:eastAsia="宋体" w:cs="宋体"/>
                <w:b w:val="0"/>
                <w:bCs/>
                <w:sz w:val="21"/>
                <w:szCs w:val="21"/>
                <w:shd w:val="clear" w:color="auto" w:fill="FFFFFF"/>
              </w:rPr>
              <w:t>技术</w:t>
            </w:r>
            <w:r>
              <w:rPr>
                <w:rFonts w:hint="eastAsia" w:ascii="宋体" w:hAnsi="宋体" w:eastAsia="宋体" w:cs="宋体"/>
                <w:b w:val="0"/>
                <w:bCs/>
                <w:sz w:val="21"/>
                <w:szCs w:val="21"/>
                <w:shd w:val="clear" w:color="auto" w:fill="FFFFFF"/>
                <w:lang w:val="en-US" w:eastAsia="zh-CN"/>
              </w:rPr>
              <w:t>要求</w:t>
            </w:r>
          </w:p>
        </w:tc>
        <w:tc>
          <w:tcPr>
            <w:tcW w:w="7477" w:type="dxa"/>
          </w:tcPr>
          <w:p w14:paraId="00080932">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一、工作首页</w:t>
            </w:r>
          </w:p>
          <w:p w14:paraId="56AE0E3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工作首页是各类用户登录系统，开展科研工作的首页和提醒页面，提供科研统计、通知公告、今日待办、快捷通道等内容，为各类用户提供专属登录场景。</w:t>
            </w:r>
          </w:p>
          <w:p w14:paraId="2724E62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 科研统计</w:t>
            </w:r>
          </w:p>
          <w:p w14:paraId="0B71E6A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将科研项目、经费、成果等不同业务模块的数据信息以统计图表的形式展现，默认提供“年度</w:t>
            </w:r>
            <w:r>
              <w:rPr>
                <w:rFonts w:hint="eastAsia" w:ascii="宋体" w:hAnsi="宋体" w:cs="宋体"/>
                <w:sz w:val="21"/>
                <w:szCs w:val="21"/>
                <w:lang w:val="en-US" w:eastAsia="zh-CN"/>
              </w:rPr>
              <w:t>科室</w:t>
            </w:r>
            <w:r>
              <w:rPr>
                <w:rFonts w:hint="eastAsia" w:ascii="宋体" w:hAnsi="宋体" w:eastAsia="宋体" w:cs="宋体"/>
                <w:sz w:val="21"/>
                <w:szCs w:val="21"/>
                <w:lang w:val="en-US" w:eastAsia="zh-CN"/>
              </w:rPr>
              <w:t>科研经费统计”、“近年科研经费预算和到账情况”、“核心论文发表趋势”以及“科研项目到账经费跨年比较”图。用户可定制相关统计图表模型，以动态掌握</w:t>
            </w:r>
            <w:r>
              <w:rPr>
                <w:rFonts w:hint="eastAsia" w:ascii="宋体" w:hAnsi="宋体" w:cs="宋体"/>
                <w:sz w:val="21"/>
                <w:szCs w:val="21"/>
                <w:lang w:val="en-US" w:eastAsia="zh-CN"/>
              </w:rPr>
              <w:t>医院</w:t>
            </w:r>
            <w:r>
              <w:rPr>
                <w:rFonts w:hint="eastAsia" w:ascii="宋体" w:hAnsi="宋体" w:eastAsia="宋体" w:cs="宋体"/>
                <w:sz w:val="21"/>
                <w:szCs w:val="21"/>
                <w:lang w:val="en-US" w:eastAsia="zh-CN"/>
              </w:rPr>
              <w:t>科研整体状态。</w:t>
            </w:r>
          </w:p>
          <w:p w14:paraId="5D36A9D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1.2 通知公告</w:t>
            </w:r>
          </w:p>
          <w:p w14:paraId="7B6C5CD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提供各类通知公告管理功能，管理员用户可管理和发布各类通知公告，科研人员可浏览各类通知公告信息。</w:t>
            </w:r>
          </w:p>
          <w:p w14:paraId="0F5D37D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 今日待办</w:t>
            </w:r>
          </w:p>
          <w:p w14:paraId="4063C94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推送各类用户需处理的待办事项信息，包括项目、经费、成果等业务模块的受理、审核、提醒信息以及各类预警信息，点击相应信息即可进入待办事项处理页面。系统对各类待办事项进行了分类统计。</w:t>
            </w:r>
          </w:p>
          <w:p w14:paraId="7D4C594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 快速通道</w:t>
            </w:r>
          </w:p>
          <w:p w14:paraId="0A1607C1">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科研人员工作首页可展示科研办事快捷通道，科研人员通过快捷通道可快速进入项目申报、立项登记、成果新增、文档下载等常用功能入口，快速办理各类科研业务。</w:t>
            </w:r>
          </w:p>
          <w:p w14:paraId="109BA4ED">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二、项目管理</w:t>
            </w:r>
          </w:p>
          <w:p w14:paraId="433FC47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项目管理子系统包括纵向项目、横向项目以及</w:t>
            </w:r>
            <w:r>
              <w:rPr>
                <w:rFonts w:hint="eastAsia" w:ascii="宋体" w:hAnsi="宋体" w:cs="宋体"/>
                <w:sz w:val="21"/>
                <w:szCs w:val="21"/>
                <w:lang w:val="en-US" w:eastAsia="zh-CN"/>
              </w:rPr>
              <w:t>院级</w:t>
            </w:r>
            <w:r>
              <w:rPr>
                <w:rFonts w:hint="eastAsia" w:ascii="宋体" w:hAnsi="宋体" w:eastAsia="宋体" w:cs="宋体"/>
                <w:sz w:val="21"/>
                <w:szCs w:val="21"/>
                <w:lang w:val="en-US" w:eastAsia="zh-CN"/>
              </w:rPr>
              <w:t>项目管理三大模块。</w:t>
            </w:r>
          </w:p>
          <w:p w14:paraId="7582BB5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 纵向项目</w:t>
            </w:r>
          </w:p>
          <w:p w14:paraId="592579A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纵向项目指各级政府来源项目、基金项目等。纵向项目模块提供项目立项、中检、变更和结项管理、项目分类管理以及预算模板管理等功能。</w:t>
            </w:r>
          </w:p>
          <w:p w14:paraId="7A5F02A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2.1.1 项目立项</w:t>
            </w:r>
          </w:p>
          <w:p w14:paraId="7DC2107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可根据上级单位批复情况进行项目立项信息登记、管理，提供项目立项信息新增、删除、审核、导入、导出、查询、批量管理以及统计分析等功能。</w:t>
            </w:r>
          </w:p>
          <w:p w14:paraId="1658800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可实现特定类别项目立项信息快速采集入库，支持Excel格式数据批量导入，支持单个或多个国家自然科学基金项目PDF计划书导入，可自动解析和获取计划书中项目基本信息、成员信息和预算信息，一键导入系统。</w:t>
            </w:r>
          </w:p>
          <w:p w14:paraId="59B3A71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对于项目数据库，系统提供审核、查询、导入、导出、统计报表等功能（注：此类功能在项目、经费、成果、基础资源等数据库均有实现）。</w:t>
            </w:r>
          </w:p>
          <w:p w14:paraId="7B07500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审核： 系统默认提供管理部门直接审核(科研人员—科研管理人员)和二级审核(科研人员—科研秘书—科研管理人员)两种审核机制。</w:t>
            </w:r>
          </w:p>
          <w:p w14:paraId="548A61F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查询： 针对入库的项目信息，系统提供快捷查询和复杂查询两种方式，可以根据所需条件进行组合式查询，支持对查询结果进行批量审核、导入导出以及统计分析等操作。</w:t>
            </w:r>
          </w:p>
          <w:p w14:paraId="423E082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Excel数据导入： 系统支持直接从 Excel 批量导入数据的功能。管理员按照指定的Excel模板整理好项目数据，系统能够一次性导入。</w:t>
            </w:r>
          </w:p>
          <w:p w14:paraId="235A872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国自然PDF计划书导入： 系统支持单个或多个国家自然科学基金项目PDF计划书导入，自动解析PDF计划书中的项目基本信息、成员信息和批复预算信息。</w:t>
            </w:r>
          </w:p>
          <w:p w14:paraId="4F3B29F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Excel数据导出： 针对项目列表查询结果，系统提供导出功能，可选择需导出的信息字段，调整信息字段顺序，实现Excel数据快速导出。</w:t>
            </w:r>
          </w:p>
          <w:p w14:paraId="05F61AD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统计报表： 系统可针对项目数据快速生成相关统计报表，可选择统计报表的行标题和列标题，按数量、批准经费、配套经费、外拨经费等参数进行统计，可自动生成柱图、饼图和线图，提供统计报表数据导出功能。</w:t>
            </w:r>
          </w:p>
          <w:p w14:paraId="4752C5C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2.1.2 项目变更</w:t>
            </w:r>
          </w:p>
          <w:p w14:paraId="6271BD4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在项目执行过程中，可对项目变更进行控制。项目负责人可提交项目成员、经费预算、委托、延期、中止等项目变更申请，并上传变更证明材料附件，科研管理人员对变更申请审查通过后，变更信息正式备案。</w:t>
            </w:r>
          </w:p>
          <w:p w14:paraId="2316181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2.1.3 项目中检</w:t>
            </w:r>
          </w:p>
          <w:p w14:paraId="1595E4F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项目执行过程中，科研管理人员如果需要对项目中期完成情况进行检查，可在线发布中期检查通知，针对不同类别项目设置不同的中检日期范围，系统根据已设置的日期自动向项目负责人发送中检提醒和预警信息，项目负责人收到中检通知后，可在线上传和提交中期检查材料。</w:t>
            </w:r>
          </w:p>
          <w:p w14:paraId="528F989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2.1.4 项目结项</w:t>
            </w:r>
          </w:p>
          <w:p w14:paraId="33754C5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科研管理人员可对项目结项情况进行管理，可针对不同类别项目设置不同的可结项日期范围，系统根据已设置的日期自动向项目负责人推送结项提醒，项目负责人上传和提交相关结项材料，经科研管理人员审核通过后完成结项备案。</w:t>
            </w:r>
          </w:p>
          <w:p w14:paraId="38AF915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2.1.5 项目分类设置</w:t>
            </w:r>
          </w:p>
          <w:p w14:paraId="557BDA4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可建立项目分类结构树，对项目分类及其预算标准模板进行设置和管理。</w:t>
            </w:r>
          </w:p>
          <w:p w14:paraId="158C344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项目分类 设置各类项目分类名称、项目来源以及所采用的预算标准模板等信息。</w:t>
            </w:r>
          </w:p>
          <w:p w14:paraId="151A76D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2.1.6 预算标准设置</w:t>
            </w:r>
          </w:p>
          <w:p w14:paraId="7971C60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可依据项目类别建立对应的预算标准模板，设置预算科目、子科目以及科目类型等信息。</w:t>
            </w:r>
          </w:p>
          <w:p w14:paraId="0D03CC4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 横向项目</w:t>
            </w:r>
          </w:p>
          <w:p w14:paraId="1590723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横向项目指</w:t>
            </w:r>
            <w:r>
              <w:rPr>
                <w:rFonts w:hint="eastAsia" w:ascii="宋体" w:hAnsi="宋体" w:cs="宋体"/>
                <w:sz w:val="21"/>
                <w:szCs w:val="21"/>
                <w:lang w:val="en-US" w:eastAsia="zh-CN"/>
              </w:rPr>
              <w:t>医院</w:t>
            </w:r>
            <w:r>
              <w:rPr>
                <w:rFonts w:hint="eastAsia" w:ascii="宋体" w:hAnsi="宋体" w:eastAsia="宋体" w:cs="宋体"/>
                <w:sz w:val="21"/>
                <w:szCs w:val="21"/>
                <w:lang w:val="en-US" w:eastAsia="zh-CN"/>
              </w:rPr>
              <w:t>与企事业单位合作项目。</w:t>
            </w:r>
          </w:p>
          <w:p w14:paraId="1BE9799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横向项目管理模块主要围绕项目合同进行管理，提供合同签审、合同备案、合同认定、合同变更以及合作单位资质管理等功能。</w:t>
            </w:r>
          </w:p>
          <w:p w14:paraId="58E0608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2.2.1 进账合同签审</w:t>
            </w:r>
          </w:p>
          <w:p w14:paraId="3A165F1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对申请流程中的合同进行线上签审管理，提供合同新增、编辑、完善、审核、批量管理、删除、导出和统计功能。</w:t>
            </w:r>
          </w:p>
          <w:p w14:paraId="51C036F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项目负责人可在线登记合同基本信息，提交合同文档。</w:t>
            </w:r>
          </w:p>
          <w:p w14:paraId="79FD7E2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科研管理人员可在线审阅合同文档，填写审批意见，可查看历史审核记录及其审批意见信息。</w:t>
            </w:r>
          </w:p>
          <w:p w14:paraId="6120812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2.2.2 进账合同备案</w:t>
            </w:r>
          </w:p>
          <w:p w14:paraId="6E2A471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对已签订的合同进行登记和备案，提供新增、编辑、审核、批量管理、删除、导入、导出以及统计分析功能。</w:t>
            </w:r>
          </w:p>
          <w:p w14:paraId="2931646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项目负责人在线登记合同基本信息、成员信息、预算信息，上传合同正式文档附件。</w:t>
            </w:r>
          </w:p>
          <w:p w14:paraId="469A8FB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经科研管理人员审定后，合同备案通过。合同备案通过后，项目负责人仍可继续上传其他相关文档材料。</w:t>
            </w:r>
          </w:p>
          <w:p w14:paraId="644342D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2.2.3 进账合同认定</w:t>
            </w:r>
          </w:p>
          <w:p w14:paraId="4D0E72E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对已备案合同，可在线进行合同认定登记，在线打印收入核定表。</w:t>
            </w:r>
          </w:p>
          <w:p w14:paraId="0FE235F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2.2.4 进账合同变更</w:t>
            </w:r>
          </w:p>
          <w:p w14:paraId="2891670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进账合同如果发生变更，项目负责人可在线提交合同变更申请，科研管理人员可以查看和审核项目负责人提交的合同变更申请信息，经审批通过后备案。</w:t>
            </w:r>
          </w:p>
          <w:p w14:paraId="5726A61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2.2.5 出账合同备案</w:t>
            </w:r>
          </w:p>
          <w:p w14:paraId="4BB77F4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出账合同登记时需填报原项目信息，经科研管理人员审批通过后备案。系统提供合同新增、编辑、审核、打印预览、删除、批量管理、导出和统计功能。</w:t>
            </w:r>
          </w:p>
          <w:p w14:paraId="71859F9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2.2.6 合作单位管理</w:t>
            </w:r>
          </w:p>
          <w:p w14:paraId="6336D57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系统可以对合作单位基本信息和资质信息等进行统一管理。</w:t>
            </w:r>
          </w:p>
          <w:p w14:paraId="585B4EF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科研管理人员可以对具备资质的合作单位进行登记和备案。</w:t>
            </w:r>
          </w:p>
          <w:p w14:paraId="7BA9C04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2.2.7 预算标准设置</w:t>
            </w:r>
          </w:p>
          <w:p w14:paraId="3A7EA46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可根据需要建立横向项目预算标准模板，以支持横向项目预算管理。</w:t>
            </w:r>
          </w:p>
          <w:p w14:paraId="4CF4FA1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2.2.8 合同模板设置</w:t>
            </w:r>
          </w:p>
          <w:p w14:paraId="798DCCF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科研管理人员可上传、管理和维护各类出账合同模板，供科研人员使用。</w:t>
            </w:r>
          </w:p>
          <w:p w14:paraId="59D74D7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2.3 </w:t>
            </w:r>
            <w:r>
              <w:rPr>
                <w:rFonts w:hint="eastAsia" w:ascii="宋体" w:hAnsi="宋体" w:cs="宋体"/>
                <w:sz w:val="21"/>
                <w:szCs w:val="21"/>
                <w:lang w:val="en-US" w:eastAsia="zh-CN"/>
              </w:rPr>
              <w:t>院级</w:t>
            </w:r>
            <w:r>
              <w:rPr>
                <w:rFonts w:hint="eastAsia" w:ascii="宋体" w:hAnsi="宋体" w:eastAsia="宋体" w:cs="宋体"/>
                <w:sz w:val="21"/>
                <w:szCs w:val="21"/>
                <w:lang w:val="en-US" w:eastAsia="zh-CN"/>
              </w:rPr>
              <w:t>项目</w:t>
            </w:r>
          </w:p>
          <w:p w14:paraId="62FC534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院级</w:t>
            </w:r>
            <w:r>
              <w:rPr>
                <w:rFonts w:hint="eastAsia" w:ascii="宋体" w:hAnsi="宋体" w:eastAsia="宋体" w:cs="宋体"/>
                <w:sz w:val="21"/>
                <w:szCs w:val="21"/>
                <w:lang w:val="en-US" w:eastAsia="zh-CN"/>
              </w:rPr>
              <w:t>项目通常指</w:t>
            </w:r>
            <w:r>
              <w:rPr>
                <w:rFonts w:hint="eastAsia" w:ascii="宋体" w:hAnsi="宋体" w:cs="宋体"/>
                <w:sz w:val="21"/>
                <w:szCs w:val="21"/>
                <w:lang w:val="en-US" w:eastAsia="zh-CN"/>
              </w:rPr>
              <w:t>医院</w:t>
            </w:r>
            <w:r>
              <w:rPr>
                <w:rFonts w:hint="eastAsia" w:ascii="宋体" w:hAnsi="宋体" w:eastAsia="宋体" w:cs="宋体"/>
                <w:sz w:val="21"/>
                <w:szCs w:val="21"/>
                <w:lang w:val="en-US" w:eastAsia="zh-CN"/>
              </w:rPr>
              <w:t>内部资助立项的项目。</w:t>
            </w:r>
            <w:r>
              <w:rPr>
                <w:rFonts w:hint="eastAsia" w:ascii="宋体" w:hAnsi="宋体" w:cs="宋体"/>
                <w:sz w:val="21"/>
                <w:szCs w:val="21"/>
                <w:lang w:val="en-US" w:eastAsia="zh-CN"/>
              </w:rPr>
              <w:t>院级</w:t>
            </w:r>
            <w:r>
              <w:rPr>
                <w:rFonts w:hint="eastAsia" w:ascii="宋体" w:hAnsi="宋体" w:eastAsia="宋体" w:cs="宋体"/>
                <w:sz w:val="21"/>
                <w:szCs w:val="21"/>
                <w:lang w:val="en-US" w:eastAsia="zh-CN"/>
              </w:rPr>
              <w:t>项目管理模块提供项目立项、中检、变更、结项、项目分类设置和评审方案设置功能等。</w:t>
            </w:r>
          </w:p>
          <w:p w14:paraId="25ED233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2.3.1 项目立项</w:t>
            </w:r>
          </w:p>
          <w:p w14:paraId="54A4589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院级</w:t>
            </w:r>
            <w:r>
              <w:rPr>
                <w:rFonts w:hint="eastAsia" w:ascii="宋体" w:hAnsi="宋体" w:eastAsia="宋体" w:cs="宋体"/>
                <w:sz w:val="21"/>
                <w:szCs w:val="21"/>
                <w:lang w:val="en-US" w:eastAsia="zh-CN"/>
              </w:rPr>
              <w:t>项目立项信息登记，可衔接前期申报评审，也可直接新增立项登记。</w:t>
            </w:r>
          </w:p>
          <w:p w14:paraId="26F1BD3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院级</w:t>
            </w:r>
            <w:r>
              <w:rPr>
                <w:rFonts w:hint="eastAsia" w:ascii="宋体" w:hAnsi="宋体" w:eastAsia="宋体" w:cs="宋体"/>
                <w:sz w:val="21"/>
                <w:szCs w:val="21"/>
                <w:lang w:val="en-US" w:eastAsia="zh-CN"/>
              </w:rPr>
              <w:t>项目立项模块具体功能与纵向项目类似，见纵向项目立项模块。</w:t>
            </w:r>
          </w:p>
          <w:p w14:paraId="49E870F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系统可以直接导出</w:t>
            </w:r>
            <w:r>
              <w:rPr>
                <w:rFonts w:hint="eastAsia" w:ascii="宋体" w:hAnsi="宋体" w:cs="宋体"/>
                <w:sz w:val="21"/>
                <w:szCs w:val="21"/>
                <w:lang w:val="en-US" w:eastAsia="zh-CN"/>
              </w:rPr>
              <w:t>院级</w:t>
            </w:r>
            <w:r>
              <w:rPr>
                <w:rFonts w:hint="eastAsia" w:ascii="宋体" w:hAnsi="宋体" w:eastAsia="宋体" w:cs="宋体"/>
                <w:sz w:val="21"/>
                <w:szCs w:val="21"/>
                <w:lang w:val="en-US" w:eastAsia="zh-CN"/>
              </w:rPr>
              <w:t>项目基本科研业务费Excel报表。</w:t>
            </w:r>
          </w:p>
          <w:p w14:paraId="6A679AD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2.3.2 项目变更</w:t>
            </w:r>
          </w:p>
          <w:p w14:paraId="1859E4A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在项目执行过程中，可对项目变更进行控制。项目负责人可提交项目成员、经费预算、委托、延期、中止等项目变更申请，并上传变更证明材料附件，科研管理人员对变更申请审查通过后，变更信息正式备案。</w:t>
            </w:r>
          </w:p>
          <w:p w14:paraId="40E7638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2.3.3 项目中检</w:t>
            </w:r>
          </w:p>
          <w:p w14:paraId="4CB4A45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项目执行过程中，科研管理人员如果需要对项目中期完成情况进行检查，可在线发布中期检查通知，针对不同类别项目设置不同的中检日期范围，系统根据已设置的日期自动向项目负责人发送中检提醒和预警信息，项目负责人收到中检通知后，可在线上传和提交中期检查材料。</w:t>
            </w:r>
          </w:p>
          <w:p w14:paraId="0E1FDFC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2.3.4 项目结项</w:t>
            </w:r>
          </w:p>
          <w:p w14:paraId="6BA4453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科研管理人员可对项目结题情况进行管理，可针对不同类别项目设置不同的可结题日期范围，系统根据已设置的日期自动向项目负责人推送结题提醒，项目负责人上传和提交相关结项材料，经科研管理人员审核通过后完成结题备案。</w:t>
            </w:r>
          </w:p>
          <w:p w14:paraId="356D75C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2.3.5 项目分类设置</w:t>
            </w:r>
          </w:p>
          <w:p w14:paraId="03340D3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可建立项目分类结构树，对项目分类及其预算标准模板进行设置和管理。</w:t>
            </w:r>
          </w:p>
          <w:p w14:paraId="60BEE3B7">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项目分类 设置各类项目分类名称、项目来源以及所采用的预算标准模板等信息。</w:t>
            </w:r>
          </w:p>
          <w:p w14:paraId="31B1DEF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三、申报评审</w:t>
            </w:r>
          </w:p>
          <w:p w14:paraId="666E3F7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实现</w:t>
            </w:r>
            <w:r>
              <w:rPr>
                <w:rFonts w:hint="eastAsia" w:ascii="宋体" w:hAnsi="宋体" w:cs="宋体"/>
                <w:sz w:val="21"/>
                <w:szCs w:val="21"/>
                <w:lang w:val="en-US" w:eastAsia="zh-CN"/>
              </w:rPr>
              <w:t>院级</w:t>
            </w:r>
            <w:r>
              <w:rPr>
                <w:rFonts w:hint="eastAsia" w:ascii="宋体" w:hAnsi="宋体" w:eastAsia="宋体" w:cs="宋体"/>
                <w:sz w:val="21"/>
                <w:szCs w:val="21"/>
                <w:lang w:val="en-US" w:eastAsia="zh-CN"/>
              </w:rPr>
              <w:t>自立项目的网上申报及专家在线评审，也可以对纵向项目进行预评审，进而对项目进行优选与储备。</w:t>
            </w:r>
          </w:p>
          <w:p w14:paraId="33BB3C6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.1 项目申报</w:t>
            </w:r>
          </w:p>
          <w:p w14:paraId="6C2D4A2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项目申报模块提供申报计划管理、在线申报以及申报项目查看等功能。</w:t>
            </w:r>
          </w:p>
          <w:p w14:paraId="48928D2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申报计划管理</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科研管理人员可在线编辑和发布申报批次计划，包括申报计划名称、类别、申报开始结束日期等信息，上传申报指南和申请书模板，并对各单位申报限额以及申报人限制条件进行设置。</w:t>
            </w:r>
          </w:p>
          <w:p w14:paraId="21FD236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在线申报</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申报计划发布后，系统可向科研人员发送申报提醒信息，科研人员可在允许申报的时间段内，在线进行项目申报，登记申报项目基本信息、成员信息以及预算信息，上传申报材料附件。</w:t>
            </w:r>
          </w:p>
          <w:p w14:paraId="302672B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申报项目查看</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科研管理人员可查看、审核和统计各批次申报计划所提交的申报项目材料，可查看申报人已负责或者参与的历史项目信息。</w:t>
            </w:r>
          </w:p>
          <w:p w14:paraId="0DFE165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系统可根据申报人登记的项目基本信息、成员信息、预算信息以及申报书正文附件，自动合成申报书全文PDF文档，支持申报书全文在线浏览和审阅。</w:t>
            </w:r>
          </w:p>
          <w:p w14:paraId="17306C6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历史申报查看 科研管理人员可查看、查询历史批次的申报材料。</w:t>
            </w:r>
          </w:p>
          <w:p w14:paraId="4DE8973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.2 项目评审</w:t>
            </w:r>
          </w:p>
          <w:p w14:paraId="26EEFD9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项目评审模块提供评审方案编辑、评审计划发布、评审项目分配、专家在线评审和评审结果统计等功能，可支持科研管理人员组织专家进行在线通讯评审。</w:t>
            </w:r>
          </w:p>
          <w:p w14:paraId="421D01F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评审方案编辑</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科研管理人员可制定和发布各类项目评审指标，作为专家评审打分的依据。</w:t>
            </w:r>
          </w:p>
          <w:p w14:paraId="726A6A0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评审计划发布</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科研管理人员可制定各类项目评审计划，包括评审计划名称、评审方案、评审计划状态、开始日期、结束日期以及评审指南等信息。</w:t>
            </w:r>
          </w:p>
          <w:p w14:paraId="286FB66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评审项目分配</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科研管理人员可在线为各申报项目分配评审专家</w:t>
            </w:r>
            <w:r>
              <w:rPr>
                <w:rFonts w:hint="eastAsia" w:ascii="宋体" w:hAnsi="宋体" w:cs="宋体"/>
                <w:sz w:val="21"/>
                <w:szCs w:val="21"/>
                <w:lang w:val="en-US" w:eastAsia="zh-CN"/>
              </w:rPr>
              <w:t>，专家可以对评审项目进行熟悉度选择</w:t>
            </w:r>
            <w:r>
              <w:rPr>
                <w:rFonts w:hint="eastAsia" w:ascii="宋体" w:hAnsi="宋体" w:eastAsia="宋体" w:cs="宋体"/>
                <w:sz w:val="21"/>
                <w:szCs w:val="21"/>
                <w:lang w:val="en-US" w:eastAsia="zh-CN"/>
              </w:rPr>
              <w:t>。系统提供专家分组和遴选功能。系统可对接短信、邮件或者微信服务号，实时向评审专家推送评审通知。</w:t>
            </w:r>
          </w:p>
          <w:p w14:paraId="6FFC7C3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专家在线评审</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专家接到评审通知，登录系统后，可在线浏览项目申报材料，进行评审打分，填写评审意见。</w:t>
            </w:r>
          </w:p>
          <w:p w14:paraId="062AAA5F">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评审结果统计</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科研管理人员可在线查看各项目评审进度，汇总评审意见。可根据评审意见对项目进行立项操作。</w:t>
            </w:r>
          </w:p>
          <w:p w14:paraId="2B5CA3E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四、经费管理</w:t>
            </w:r>
          </w:p>
          <w:p w14:paraId="01DAFB8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经费管理子系统提供各类科研项目经费入账、经费执行、经费预警</w:t>
            </w:r>
            <w:r>
              <w:rPr>
                <w:rFonts w:hint="eastAsia" w:ascii="宋体" w:hAnsi="宋体" w:cs="宋体"/>
                <w:sz w:val="21"/>
                <w:szCs w:val="21"/>
                <w:lang w:val="en-US" w:eastAsia="zh-CN"/>
              </w:rPr>
              <w:t>等模块</w:t>
            </w:r>
          </w:p>
          <w:p w14:paraId="6BF9EA1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.1 经费入账</w:t>
            </w:r>
          </w:p>
          <w:p w14:paraId="7BE602A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提供银行到款、项目入账办理、经费卡入账、入账费用提取等功能。</w:t>
            </w:r>
          </w:p>
          <w:p w14:paraId="12F209D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.1.1 银行到款</w:t>
            </w:r>
          </w:p>
          <w:p w14:paraId="17311AD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登记银行到款信息，可供科研管理人员和项目负责人查询和认领。</w:t>
            </w:r>
          </w:p>
          <w:p w14:paraId="1B0844D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.1.2 项目入账办理</w:t>
            </w:r>
          </w:p>
          <w:p w14:paraId="2C2FFA5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银行到款可由科研管理人员直接分配到项目入账，也可以采用项目负责人个人认领—科研管理人员审批的方式实现项目入账办理。</w:t>
            </w:r>
          </w:p>
          <w:p w14:paraId="49A2E78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系统可支持多种项目入账方式，可配置多种经费建卡模式、预算拆分规则、费用提取方案等，用户可根据实际经费管理模式进行设置和组合。</w:t>
            </w:r>
          </w:p>
          <w:p w14:paraId="48B09B1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.1.3 经费卡入账</w:t>
            </w:r>
          </w:p>
          <w:p w14:paraId="330403B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经费卡入账模块主要展示已审核通过后的项目经费到账记录，项目负责人可查看经费卡入账明细，在线打印经费到款通知单，到财务处办理相应的经费划拨手续。</w:t>
            </w:r>
          </w:p>
          <w:p w14:paraId="3B1FBEA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.1.4 管理费用提取方案设置</w:t>
            </w:r>
          </w:p>
          <w:p w14:paraId="1E0810D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科研管理人员可设置各类科研项目入账费用提取方案，配置各类费用提取公式。项目入账时，系统依据银行到款类型和项目类型，自动套用对应的入账费用提取方案，计提入账费用，科研管理人员也可以手动调整最终入账费用提取金额。</w:t>
            </w:r>
          </w:p>
          <w:p w14:paraId="1466DE7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.2 经费执行</w:t>
            </w:r>
          </w:p>
          <w:p w14:paraId="113F225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经费执行模块提供经费外拨、经费结转、执行进度统计、经费工作量分割、项目绩效分割、经费支出统计等功能</w:t>
            </w:r>
          </w:p>
          <w:p w14:paraId="398BF0D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.2.1 经费外拨</w:t>
            </w:r>
          </w:p>
          <w:p w14:paraId="4A32CDC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合作单位的外拨经费登记、审核，由项目负责人发起，从所负责项目入账经费中申请外拨经费，科研管理人员审批。</w:t>
            </w:r>
          </w:p>
          <w:p w14:paraId="182BAF5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.2.2 经费结转</w:t>
            </w:r>
          </w:p>
          <w:p w14:paraId="517987C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针对已结项但经费尚有结余的项目，可进行结转操作。经费结转可由项目负责人发起，科研管理人员审批，也可由科研管理人员统一结转。</w:t>
            </w:r>
          </w:p>
          <w:p w14:paraId="43D5C32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.2.3 执行进度统计</w:t>
            </w:r>
          </w:p>
          <w:p w14:paraId="4A2AEDC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系统可从项目类别、</w:t>
            </w:r>
            <w:r>
              <w:rPr>
                <w:rFonts w:hint="eastAsia" w:ascii="宋体" w:hAnsi="宋体" w:cs="宋体"/>
                <w:sz w:val="21"/>
                <w:szCs w:val="21"/>
                <w:lang w:val="en-US" w:eastAsia="zh-CN"/>
              </w:rPr>
              <w:t>科室</w:t>
            </w:r>
            <w:r>
              <w:rPr>
                <w:rFonts w:hint="eastAsia" w:ascii="宋体" w:hAnsi="宋体" w:eastAsia="宋体" w:cs="宋体"/>
                <w:sz w:val="21"/>
                <w:szCs w:val="21"/>
                <w:lang w:val="en-US" w:eastAsia="zh-CN"/>
              </w:rPr>
              <w:t>和预算科目等维度，对科研项目经费到账和执行情况进行统计分析。</w:t>
            </w:r>
          </w:p>
          <w:p w14:paraId="1D9CA48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.2.4 经费工作量分割</w:t>
            </w:r>
          </w:p>
          <w:p w14:paraId="6532FDF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可分割项目经费工作量至各项目成员，用于项目成员工作量考核。</w:t>
            </w:r>
          </w:p>
          <w:p w14:paraId="0B69BCC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.2.5 项目绩效分割</w:t>
            </w:r>
          </w:p>
          <w:p w14:paraId="7C5A814A">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可分割项目绩效经费至各项目成员，经科研管理人员审批后进行绩效发放。</w:t>
            </w:r>
          </w:p>
          <w:p w14:paraId="655A38E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五、成果管理</w:t>
            </w:r>
          </w:p>
          <w:p w14:paraId="56D6006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成果管理子系统提供包括各类科研成果、知识产权、成果获奖以及学术交流活动信息管理功能，可基于Excel批量导入、</w:t>
            </w:r>
            <w:r>
              <w:rPr>
                <w:rFonts w:hint="eastAsia" w:ascii="宋体" w:hAnsi="宋体" w:cs="宋体"/>
                <w:sz w:val="21"/>
                <w:szCs w:val="21"/>
                <w:lang w:val="en-US" w:eastAsia="zh-CN"/>
              </w:rPr>
              <w:t>单独登记等方式，完成成果登记。</w:t>
            </w:r>
          </w:p>
          <w:p w14:paraId="6F140E3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.1 科研成果</w:t>
            </w:r>
          </w:p>
          <w:p w14:paraId="25EDA82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科研成果模块提供学术论文、学术著作、研究报告等成果信息管理功能。</w:t>
            </w:r>
          </w:p>
          <w:p w14:paraId="3C3A993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.1.1 学术论文</w:t>
            </w:r>
          </w:p>
          <w:p w14:paraId="4933780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提供论文信息新增、删除、编辑、查询、审核、批量管理、导入、导出以及统计分析功能。</w:t>
            </w:r>
          </w:p>
          <w:p w14:paraId="3A5F3B7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支持用户对期刊进行分级管理，一个刊物级别可对应多个期刊或者期刊源。用户可根据自身需求，建立刊物级别划分标准。划分刊物级别后，论文信息自动与刊物级别匹配，为论文考核奖励提供计分依据，可在考核奖励模块中设置。</w:t>
            </w:r>
          </w:p>
          <w:p w14:paraId="3BCD89D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系统可设置期刊源及其期刊库信息，期刊源与刊物级别相关联。</w:t>
            </w:r>
          </w:p>
          <w:p w14:paraId="00207C4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.1.2 学术著作</w:t>
            </w:r>
          </w:p>
          <w:p w14:paraId="5F15F4F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提供著作信息新增、删除、编辑、查询、审核、导入、导出以及统计分析功能。</w:t>
            </w:r>
          </w:p>
          <w:p w14:paraId="56F7D0A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.1.3 研究报告</w:t>
            </w:r>
          </w:p>
          <w:p w14:paraId="6FE712A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提供研究报告信息新增、删除、编辑、查询、审核、导入、导出以及统计分析功能。</w:t>
            </w:r>
          </w:p>
          <w:p w14:paraId="30BD289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.2 知识产权</w:t>
            </w:r>
          </w:p>
          <w:p w14:paraId="19B5324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知识产权模块提供专利、著作权、标准等知识产权信息管理功能。</w:t>
            </w:r>
          </w:p>
          <w:p w14:paraId="1640D8A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.2.1 专利</w:t>
            </w:r>
          </w:p>
          <w:p w14:paraId="7B49C95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专利信息管理 系统提供专利信息新增、删除、编辑、查询、审核、导入、导出以及统计分析功能。</w:t>
            </w:r>
          </w:p>
          <w:p w14:paraId="1983DC3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.2.2 著作权</w:t>
            </w:r>
          </w:p>
          <w:p w14:paraId="333E4AF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提供著作权信息新增、删除、编辑、审核、导入、导出、批量管理、统计分析功能。</w:t>
            </w:r>
          </w:p>
          <w:p w14:paraId="4A3D198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.2.3 标准</w:t>
            </w:r>
          </w:p>
          <w:p w14:paraId="4D1E699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提供标准信息新增、删除、编辑、审核、导入、导出、批量管理、统计分析功能。</w:t>
            </w:r>
          </w:p>
          <w:p w14:paraId="559E412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.2.4 药证</w:t>
            </w:r>
          </w:p>
          <w:p w14:paraId="6BA261E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提供药证信息新增、删除、编辑、审核、导入、导出、批量管理、统计分析功能。</w:t>
            </w:r>
          </w:p>
          <w:p w14:paraId="07F6BED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.2.</w:t>
            </w:r>
            <w:r>
              <w:rPr>
                <w:rFonts w:hint="eastAsia" w:ascii="宋体" w:hAnsi="宋体" w:cs="宋体"/>
                <w:sz w:val="21"/>
                <w:szCs w:val="21"/>
                <w:lang w:val="en-US" w:eastAsia="zh-CN"/>
              </w:rPr>
              <w:t>5</w:t>
            </w: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新品种</w:t>
            </w:r>
          </w:p>
          <w:p w14:paraId="09EF676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lang w:val="en-US" w:eastAsia="zh-CN"/>
              </w:rPr>
            </w:pPr>
            <w:r>
              <w:rPr>
                <w:rFonts w:hint="eastAsia" w:ascii="宋体" w:hAnsi="宋体" w:eastAsia="宋体" w:cs="宋体"/>
                <w:sz w:val="21"/>
                <w:szCs w:val="21"/>
                <w:lang w:val="en-US" w:eastAsia="zh-CN"/>
              </w:rPr>
              <w:t>提供</w:t>
            </w:r>
            <w:r>
              <w:rPr>
                <w:rFonts w:hint="eastAsia" w:ascii="宋体" w:hAnsi="宋体" w:cs="宋体"/>
                <w:sz w:val="21"/>
                <w:szCs w:val="21"/>
                <w:lang w:val="en-US" w:eastAsia="zh-CN"/>
              </w:rPr>
              <w:t>新品种</w:t>
            </w:r>
            <w:r>
              <w:rPr>
                <w:rFonts w:hint="eastAsia" w:ascii="宋体" w:hAnsi="宋体" w:eastAsia="宋体" w:cs="宋体"/>
                <w:sz w:val="21"/>
                <w:szCs w:val="21"/>
                <w:lang w:val="en-US" w:eastAsia="zh-CN"/>
              </w:rPr>
              <w:t>信息新增、删除、编辑、审核、导入、导出、批量管理、统计分析功能。</w:t>
            </w:r>
          </w:p>
          <w:p w14:paraId="35353CD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.3 成果获奖</w:t>
            </w:r>
          </w:p>
          <w:p w14:paraId="14E3CC0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成果获奖模块提供获奖成果管理等功能。</w:t>
            </w:r>
          </w:p>
          <w:p w14:paraId="28B871B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提供获奖成果信息新增、删除、编辑、查询、审核、导入、导出以及统计分析功能。</w:t>
            </w:r>
          </w:p>
          <w:p w14:paraId="09EB1CF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.4 学术交流</w:t>
            </w:r>
          </w:p>
          <w:p w14:paraId="316C482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学术交流模块提供主办会议、学术讲座、参加会议、合作研究等活动信息管理功能。</w:t>
            </w:r>
          </w:p>
          <w:p w14:paraId="3B0AFDE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.4.1 主办会议</w:t>
            </w:r>
          </w:p>
          <w:p w14:paraId="15347A0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主办会议指</w:t>
            </w:r>
            <w:r>
              <w:rPr>
                <w:rFonts w:hint="eastAsia" w:ascii="宋体" w:hAnsi="宋体" w:cs="宋体"/>
                <w:sz w:val="21"/>
                <w:szCs w:val="21"/>
                <w:lang w:val="en-US" w:eastAsia="zh-CN"/>
              </w:rPr>
              <w:t>医院</w:t>
            </w:r>
            <w:r>
              <w:rPr>
                <w:rFonts w:hint="eastAsia" w:ascii="宋体" w:hAnsi="宋体" w:eastAsia="宋体" w:cs="宋体"/>
                <w:sz w:val="21"/>
                <w:szCs w:val="21"/>
                <w:lang w:val="en-US" w:eastAsia="zh-CN"/>
              </w:rPr>
              <w:t>承办的会议，系统提供主办会议信息新增、删除、编辑、审核、导入、导出、批量管理和统计分析功能。</w:t>
            </w:r>
          </w:p>
          <w:p w14:paraId="03C2535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.4.2 学术讲座</w:t>
            </w:r>
          </w:p>
          <w:p w14:paraId="0B6D089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学术讲座指对二级单位组织的各类交流论坛和讲座。系统提供学术讲座信息新增、删除、编辑、审核、导入、导出、批量管理和统计分析功能。</w:t>
            </w:r>
          </w:p>
          <w:p w14:paraId="0925C25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.4.3 参加会议</w:t>
            </w:r>
          </w:p>
          <w:p w14:paraId="7B88CC8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参加会议是指对科研人员外出参加的学术会议。科研人员登记相应的会议信息，通过科研管理人员审核后备案。</w:t>
            </w:r>
          </w:p>
          <w:p w14:paraId="5A5A026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5</w:t>
            </w:r>
            <w:r>
              <w:rPr>
                <w:rFonts w:hint="eastAsia" w:ascii="宋体" w:hAnsi="宋体" w:eastAsia="宋体" w:cs="宋体"/>
                <w:sz w:val="21"/>
                <w:szCs w:val="21"/>
                <w:lang w:val="en-US" w:eastAsia="zh-CN"/>
              </w:rPr>
              <w:t>.4.4 合作研究</w:t>
            </w:r>
          </w:p>
          <w:p w14:paraId="5D4E685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合作研究包括人员派遣和人员接收两部分。</w:t>
            </w:r>
          </w:p>
          <w:p w14:paraId="45C0DC1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人员派遣模块提供对合作研究中派遣人员和研究课题信息的管理功能，包括派遣人员新增、删除、编辑、查询、审核、导入、导出、批量管理以及统计分析功能，可依据数据导入模板进行批量导入。</w:t>
            </w:r>
          </w:p>
          <w:p w14:paraId="732AA70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人员接收模块提供对合作研究中课题信息和接收人员信息的管理功能，包括接收人员新增、删除、编辑、查询、审核以及统计分析功能。</w:t>
            </w:r>
          </w:p>
          <w:p w14:paraId="0580328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 xml:space="preserve">5.5 </w:t>
            </w:r>
            <w:r>
              <w:rPr>
                <w:rFonts w:hint="eastAsia" w:ascii="宋体" w:hAnsi="宋体" w:eastAsia="宋体" w:cs="宋体"/>
                <w:sz w:val="21"/>
                <w:szCs w:val="21"/>
                <w:lang w:val="en-US" w:eastAsia="zh-CN"/>
              </w:rPr>
              <w:t>成果转化登记</w:t>
            </w:r>
          </w:p>
          <w:p w14:paraId="594BFEE8">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成果转化登记</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转化合同登记审核、合同公示；收益分配及公示。</w:t>
            </w:r>
          </w:p>
          <w:p w14:paraId="76E9B85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六、基础资源</w:t>
            </w:r>
          </w:p>
          <w:p w14:paraId="5932AA9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基础资源子系统提供科研队伍（含科研人员、专家</w:t>
            </w:r>
            <w:r>
              <w:rPr>
                <w:rFonts w:hint="eastAsia" w:ascii="宋体" w:hAnsi="宋体" w:cs="宋体"/>
                <w:sz w:val="21"/>
                <w:szCs w:val="21"/>
                <w:lang w:val="en-US" w:eastAsia="zh-CN"/>
              </w:rPr>
              <w:t>人员</w:t>
            </w:r>
            <w:r>
              <w:rPr>
                <w:rFonts w:hint="eastAsia" w:ascii="宋体" w:hAnsi="宋体" w:eastAsia="宋体" w:cs="宋体"/>
                <w:sz w:val="21"/>
                <w:szCs w:val="21"/>
                <w:lang w:val="en-US" w:eastAsia="zh-CN"/>
              </w:rPr>
              <w:t>以及组织结构）、基础平台、文档共享管理功能。</w:t>
            </w:r>
          </w:p>
          <w:p w14:paraId="16C8E08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6</w:t>
            </w:r>
            <w:r>
              <w:rPr>
                <w:rFonts w:hint="eastAsia" w:ascii="宋体" w:hAnsi="宋体" w:eastAsia="宋体" w:cs="宋体"/>
                <w:sz w:val="21"/>
                <w:szCs w:val="21"/>
                <w:lang w:val="en-US" w:eastAsia="zh-CN"/>
              </w:rPr>
              <w:t>.1 科研队伍</w:t>
            </w:r>
          </w:p>
          <w:p w14:paraId="1F60E4C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提供科研人员、专家</w:t>
            </w:r>
            <w:r>
              <w:rPr>
                <w:rFonts w:hint="eastAsia" w:ascii="宋体" w:hAnsi="宋体" w:cs="宋体"/>
                <w:sz w:val="21"/>
                <w:szCs w:val="21"/>
                <w:lang w:val="en-US" w:eastAsia="zh-CN"/>
              </w:rPr>
              <w:t>人员</w:t>
            </w:r>
            <w:r>
              <w:rPr>
                <w:rFonts w:hint="eastAsia" w:ascii="宋体" w:hAnsi="宋体" w:eastAsia="宋体" w:cs="宋体"/>
                <w:sz w:val="21"/>
                <w:szCs w:val="21"/>
                <w:lang w:val="en-US" w:eastAsia="zh-CN"/>
              </w:rPr>
              <w:t>和组织结构信息管理功能。</w:t>
            </w:r>
          </w:p>
          <w:p w14:paraId="7A1C194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6</w:t>
            </w:r>
            <w:r>
              <w:rPr>
                <w:rFonts w:hint="eastAsia" w:ascii="宋体" w:hAnsi="宋体" w:eastAsia="宋体" w:cs="宋体"/>
                <w:sz w:val="21"/>
                <w:szCs w:val="21"/>
                <w:lang w:val="en-US" w:eastAsia="zh-CN"/>
              </w:rPr>
              <w:t>.1.1 科研人员</w:t>
            </w:r>
          </w:p>
          <w:p w14:paraId="37BBD84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实现科研人员基本信息和详细信息（科研相关信息）管理。系统可定期同步人事系统，获取科研人员基本信息。</w:t>
            </w:r>
          </w:p>
          <w:p w14:paraId="49E08B0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系统可自动统计科研人员相关项目、经费、成果等数据，生成个人科研详情表。科研管理人员可以通过科研人员列表，查看科研人员的科研详情表。</w:t>
            </w:r>
          </w:p>
          <w:p w14:paraId="715DA48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科研人员可以查看自己的科研详情表，可对科研详情表所展示的内容进行筛选，对所展示的字段进行设置，导出相应的Excel表格，支持在线打印。</w:t>
            </w:r>
          </w:p>
          <w:p w14:paraId="35FE742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6</w:t>
            </w:r>
            <w:r>
              <w:rPr>
                <w:rFonts w:hint="eastAsia" w:ascii="宋体" w:hAnsi="宋体" w:eastAsia="宋体" w:cs="宋体"/>
                <w:sz w:val="21"/>
                <w:szCs w:val="21"/>
                <w:lang w:val="en-US" w:eastAsia="zh-CN"/>
              </w:rPr>
              <w:t>.1.2 专家</w:t>
            </w:r>
            <w:r>
              <w:rPr>
                <w:rFonts w:hint="eastAsia" w:ascii="宋体" w:hAnsi="宋体" w:cs="宋体"/>
                <w:sz w:val="21"/>
                <w:szCs w:val="21"/>
                <w:lang w:val="en-US" w:eastAsia="zh-CN"/>
              </w:rPr>
              <w:t>人员</w:t>
            </w:r>
          </w:p>
          <w:p w14:paraId="19D1086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建立专家库，提供专家信息管理功能，包括</w:t>
            </w:r>
            <w:r>
              <w:rPr>
                <w:rFonts w:hint="eastAsia" w:ascii="宋体" w:hAnsi="宋体" w:cs="宋体"/>
                <w:sz w:val="21"/>
                <w:szCs w:val="21"/>
                <w:lang w:val="en-US" w:eastAsia="zh-CN"/>
              </w:rPr>
              <w:t>院内</w:t>
            </w:r>
            <w:r>
              <w:rPr>
                <w:rFonts w:hint="eastAsia" w:ascii="宋体" w:hAnsi="宋体" w:eastAsia="宋体" w:cs="宋体"/>
                <w:sz w:val="21"/>
                <w:szCs w:val="21"/>
                <w:lang w:val="en-US" w:eastAsia="zh-CN"/>
              </w:rPr>
              <w:t>和校外专家。</w:t>
            </w:r>
          </w:p>
          <w:p w14:paraId="4961447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系统提供专家分组和遴选功能，用户可根据需要进行专家分组和遴选操作，以支撑相关评审工作开展。专家可登陆系统，对分配的项目申报材料进行在线评审和打分。</w:t>
            </w:r>
          </w:p>
          <w:p w14:paraId="13D42A4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6</w:t>
            </w:r>
            <w:r>
              <w:rPr>
                <w:rFonts w:hint="eastAsia" w:ascii="宋体" w:hAnsi="宋体" w:eastAsia="宋体" w:cs="宋体"/>
                <w:sz w:val="21"/>
                <w:szCs w:val="21"/>
                <w:lang w:val="en-US" w:eastAsia="zh-CN"/>
              </w:rPr>
              <w:t>.1.3 组织结构</w:t>
            </w:r>
          </w:p>
          <w:p w14:paraId="1F6FA60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提供组织结构信息管理功能，包括相关科研单位和管理单位信息管理。可设置相关单位负责人、联系人等信息，可设置其下属/二级单位。</w:t>
            </w:r>
          </w:p>
          <w:p w14:paraId="1EE5AE7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系统可通过单位列表，查看和统计单位人员信息，统计单位科研项目、经费、成果等信息。</w:t>
            </w:r>
          </w:p>
          <w:p w14:paraId="308DEAE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6</w:t>
            </w:r>
            <w:r>
              <w:rPr>
                <w:rFonts w:hint="eastAsia" w:ascii="宋体" w:hAnsi="宋体" w:eastAsia="宋体" w:cs="宋体"/>
                <w:sz w:val="21"/>
                <w:szCs w:val="21"/>
                <w:lang w:val="en-US" w:eastAsia="zh-CN"/>
              </w:rPr>
              <w:t>.2 基础平台</w:t>
            </w:r>
          </w:p>
          <w:p w14:paraId="3E892CD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基础平台通常指相关实体或者虚拟的研究机构，包括实验室、研究基地、研究中心、工程中心等研究机构。</w:t>
            </w:r>
          </w:p>
          <w:p w14:paraId="1473C4F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科研管理人员可管理和维护研究机构基本信息，可查看研究机构的科研人员列表，可统计各研究机构科研人员、项目、经费、成果等信息。</w:t>
            </w:r>
          </w:p>
          <w:p w14:paraId="539FFB5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6</w:t>
            </w:r>
            <w:r>
              <w:rPr>
                <w:rFonts w:hint="eastAsia" w:ascii="宋体" w:hAnsi="宋体" w:eastAsia="宋体" w:cs="宋体"/>
                <w:sz w:val="21"/>
                <w:szCs w:val="21"/>
                <w:lang w:val="en-US" w:eastAsia="zh-CN"/>
              </w:rPr>
              <w:t>.3 文档共享</w:t>
            </w:r>
          </w:p>
          <w:p w14:paraId="0D54F7E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系统提供各类科研管理文档共享功能，可设置文档类型，由科研管理人员进行文档发布、管理和维护，向科研人员共享。</w:t>
            </w:r>
          </w:p>
          <w:p w14:paraId="7684F6C9">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科研人员可查询、浏览和下载相关科研文档，科研管理人员可查看文档下载次数信息。</w:t>
            </w:r>
          </w:p>
          <w:p w14:paraId="142D9F5A">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七、系统集成（需要第三方系统配合开放接口及技术支持）</w:t>
            </w:r>
          </w:p>
          <w:p w14:paraId="0E5C4BB9">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 xml:space="preserve">7.1 </w:t>
            </w:r>
            <w:r>
              <w:rPr>
                <w:rFonts w:hint="default" w:ascii="宋体" w:hAnsi="宋体" w:eastAsia="宋体" w:cs="宋体"/>
                <w:sz w:val="21"/>
                <w:szCs w:val="21"/>
                <w:lang w:val="en-US" w:eastAsia="zh-CN"/>
              </w:rPr>
              <w:t>统一身份认证：实现登录认证源的对接/单点登录集成。</w:t>
            </w:r>
          </w:p>
          <w:p w14:paraId="6AD40480">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 xml:space="preserve">7.2 </w:t>
            </w:r>
            <w:r>
              <w:rPr>
                <w:rFonts w:hint="default" w:ascii="宋体" w:hAnsi="宋体" w:eastAsia="宋体" w:cs="宋体"/>
                <w:sz w:val="21"/>
                <w:szCs w:val="21"/>
                <w:lang w:val="en-US" w:eastAsia="zh-CN"/>
              </w:rPr>
              <w:t>人事对接：与人事系统对接，实现人员基本信息同步。</w:t>
            </w:r>
          </w:p>
          <w:p w14:paraId="4FCCD94E">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 xml:space="preserve">7.3 </w:t>
            </w:r>
            <w:r>
              <w:rPr>
                <w:rFonts w:hint="default" w:ascii="宋体" w:hAnsi="宋体" w:eastAsia="宋体" w:cs="宋体"/>
                <w:sz w:val="21"/>
                <w:szCs w:val="21"/>
                <w:lang w:val="en-US" w:eastAsia="zh-CN"/>
              </w:rPr>
              <w:t>短信、邮件对接：与医院短信（医院需要有短信平台）、邮件平台对接，实现信息推送、提醒。</w:t>
            </w:r>
          </w:p>
          <w:p w14:paraId="2BD1C449">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 xml:space="preserve">7.4 </w:t>
            </w:r>
            <w:r>
              <w:rPr>
                <w:rFonts w:hint="default" w:ascii="宋体" w:hAnsi="宋体" w:eastAsia="宋体" w:cs="宋体"/>
                <w:sz w:val="21"/>
                <w:szCs w:val="21"/>
                <w:lang w:val="en-US" w:eastAsia="zh-CN"/>
              </w:rPr>
              <w:t>与医院数据共享平台对接：实现科研数据共享。</w:t>
            </w:r>
          </w:p>
          <w:p w14:paraId="2BB69E04">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八、科研考核</w:t>
            </w:r>
          </w:p>
          <w:p w14:paraId="43FCAE65">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依据医院考核管理办法，定制开发；提供考核方案设置、计分细则设置、岗位标准设置、分摊方案设置、考核流程管理、考核分值确认以及考核结果统计等功能。</w:t>
            </w:r>
          </w:p>
          <w:p w14:paraId="5506FE7C">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8.1 考核方案设置</w:t>
            </w:r>
          </w:p>
          <w:p w14:paraId="230EB6D7">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在考核工作开始前，需选定考核范围以及对应的计分细则、分摊方案和岗位标准，形成具体的考核方案。</w:t>
            </w:r>
          </w:p>
          <w:p w14:paraId="7F3C889B">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系统提供考核方案新增、编辑、查询等功能。</w:t>
            </w:r>
          </w:p>
          <w:p w14:paraId="67E223B3">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系统支持对科研机构或者科研人员两类对象进行考核。考核范围包括各类科研项目、经费和成果数据，指定考核范围时，需指定相应的计分细则。</w:t>
            </w:r>
          </w:p>
          <w:p w14:paraId="3F3F54CC">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计分细则设置  设置各类业务数据计分细则，包括基准分值、权重分值、分配方式、计算方式以及显示属性等，作为各类业务数据得分计算的依据。不同类型项目、成果数据可依据其不同属性字段建立相应的计分标准。</w:t>
            </w:r>
          </w:p>
          <w:p w14:paraId="670A96C8">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分摊方案设置  设置多成员合作项目、成果的贡献分配方案，系统提供了多张分摊模式，可依据成员排名或者署名顺序进行分摊，可建立阶梯分摊方案，也可平均分摊，也可依据成员贡献率进行分摊。</w:t>
            </w:r>
          </w:p>
          <w:p w14:paraId="0078F1D9">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岗位标准设置  根据医院实际情况和职称标准，制定相应的岗位标准，即各岗位的基准分值。</w:t>
            </w:r>
          </w:p>
          <w:p w14:paraId="61BC040C">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8.2 考核流程管理</w:t>
            </w:r>
          </w:p>
          <w:p w14:paraId="5C4E162F">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完成考核方案设置后，科研管理人员即可以建立考核批次计划，按照数据模板批量导入被考核人员清单，启动科研考核工作。</w:t>
            </w:r>
          </w:p>
          <w:p w14:paraId="79863879">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系统自动按照考核方案进行分值计算，生成考核结果确认单，提交被考核人员进行确认，被考核人员若对考核结果有异议，可在线提交申述意见，由科研管理人员进行处理。所有考核结果经个人确认后，考核结束，考核数据备案。</w:t>
            </w:r>
          </w:p>
          <w:p w14:paraId="2AD99F7F">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新增考核批次  建立本次考核批次信息，包括考核批次名称、考核方案、开始日期、结束日期等信息。</w:t>
            </w:r>
          </w:p>
          <w:p w14:paraId="021D9A3E">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导入考核人员  科研管理人员可按照系统提供的Excel模板，批量导入考核人员信息，也可以逐项登记考核人员信息。</w:t>
            </w:r>
          </w:p>
          <w:p w14:paraId="195960A3">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启动考核  启动考核后，系统自动计算被考核人员分值，并将考核结果推送给被考核人员进行确认。</w:t>
            </w:r>
          </w:p>
          <w:p w14:paraId="7A89E0F0">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被考核人员登录系统后，在我的考核里可查看个人考核详情并确认分值结果，决定是否提交申述意见。提交申述意见后，由科研管理人员对申述意见逐条进行处理。</w:t>
            </w:r>
          </w:p>
          <w:p w14:paraId="25602708">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考核截止后，若个人未确认考核分值，系统默认提交，无申述意见。</w:t>
            </w:r>
          </w:p>
          <w:p w14:paraId="7BAA0AC1">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考核过程监控  科研管理人员可在线跟踪被考核人员分值和确认进度。</w:t>
            </w:r>
          </w:p>
          <w:p w14:paraId="406D4640">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考核结束  当所有被考核人员完成考核结果确认后，考核结束。科研管理人员可查看、查询和统计所有考核结果。</w:t>
            </w:r>
          </w:p>
          <w:p w14:paraId="182F06BE">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考核备案导出  科研管理人员可对考核结果进行备案、导出等操作，可查看和导出考核排名表。</w:t>
            </w:r>
          </w:p>
          <w:p w14:paraId="102E441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九、科研财务协同</w:t>
            </w:r>
          </w:p>
          <w:p w14:paraId="52C0E95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相关条件具备的情况下，科研系统可与财务系统进行对接，实现科研项目、批复预算、银行到款、项目入账、财务报销等数据同步。系统可自动记录同步批次信息，可浏览和查询所有科研共享数据和财务共享数据信息。</w:t>
            </w:r>
          </w:p>
          <w:p w14:paraId="06DC5498">
            <w:pPr>
              <w:pStyle w:val="2"/>
              <w:keepNext w:val="0"/>
              <w:keepLines w:val="0"/>
              <w:pageBreakBefore w:val="0"/>
              <w:widowControl w:val="0"/>
              <w:kinsoku/>
              <w:wordWrap/>
              <w:overflowPunct/>
              <w:topLinePunct w:val="0"/>
              <w:autoSpaceDE/>
              <w:autoSpaceDN/>
              <w:bidi w:val="0"/>
              <w:adjustRightInd/>
              <w:snapToGrid w:val="0"/>
              <w:spacing w:after="0" w:line="280" w:lineRule="exact"/>
              <w:ind w:firstLine="420" w:firstLineChars="200"/>
              <w:textAlignment w:val="auto"/>
              <w:rPr>
                <w:rFonts w:hint="eastAsia"/>
                <w:lang w:val="en-US" w:eastAsia="zh-CN"/>
              </w:rPr>
            </w:pPr>
            <w:r>
              <w:rPr>
                <w:rFonts w:hint="eastAsia"/>
                <w:lang w:val="en-US" w:eastAsia="zh-CN"/>
              </w:rPr>
              <w:t>9.1 接口对接</w:t>
            </w:r>
          </w:p>
          <w:p w14:paraId="432556A6">
            <w:pPr>
              <w:pStyle w:val="2"/>
              <w:keepNext w:val="0"/>
              <w:keepLines w:val="0"/>
              <w:pageBreakBefore w:val="0"/>
              <w:widowControl w:val="0"/>
              <w:kinsoku/>
              <w:wordWrap/>
              <w:overflowPunct/>
              <w:topLinePunct w:val="0"/>
              <w:autoSpaceDE/>
              <w:autoSpaceDN/>
              <w:bidi w:val="0"/>
              <w:adjustRightInd/>
              <w:snapToGrid w:val="0"/>
              <w:spacing w:after="0" w:line="280" w:lineRule="exact"/>
              <w:ind w:firstLine="420" w:firstLineChars="200"/>
              <w:textAlignment w:val="auto"/>
              <w:rPr>
                <w:rFonts w:hint="eastAsia"/>
                <w:lang w:val="en-US" w:eastAsia="zh-CN"/>
              </w:rPr>
            </w:pPr>
            <w:r>
              <w:rPr>
                <w:rFonts w:hint="eastAsia"/>
                <w:lang w:val="en-US" w:eastAsia="zh-CN"/>
              </w:rPr>
              <w:t>通过科研系统与财务系统对接，实现科研管理部门和财务管理部门科研经费数据共享。</w:t>
            </w:r>
          </w:p>
          <w:p w14:paraId="2614F6F7">
            <w:pPr>
              <w:pStyle w:val="2"/>
              <w:keepNext w:val="0"/>
              <w:keepLines w:val="0"/>
              <w:pageBreakBefore w:val="0"/>
              <w:widowControl w:val="0"/>
              <w:kinsoku/>
              <w:wordWrap/>
              <w:overflowPunct/>
              <w:topLinePunct w:val="0"/>
              <w:autoSpaceDE/>
              <w:autoSpaceDN/>
              <w:bidi w:val="0"/>
              <w:adjustRightInd/>
              <w:snapToGrid w:val="0"/>
              <w:spacing w:after="0" w:line="280" w:lineRule="exact"/>
              <w:ind w:firstLine="420" w:firstLineChars="200"/>
              <w:textAlignment w:val="auto"/>
              <w:rPr>
                <w:rFonts w:hint="eastAsia"/>
                <w:lang w:val="en-US" w:eastAsia="zh-CN"/>
              </w:rPr>
            </w:pPr>
            <w:r>
              <w:rPr>
                <w:rFonts w:hint="eastAsia"/>
                <w:lang w:val="en-US" w:eastAsia="zh-CN"/>
              </w:rPr>
              <w:t>数据接口：开发科研与财务系统数据接口，建立数据信任和传递机制；</w:t>
            </w:r>
          </w:p>
          <w:p w14:paraId="54C90143">
            <w:pPr>
              <w:pStyle w:val="2"/>
              <w:keepNext w:val="0"/>
              <w:keepLines w:val="0"/>
              <w:pageBreakBefore w:val="0"/>
              <w:widowControl w:val="0"/>
              <w:kinsoku/>
              <w:wordWrap/>
              <w:overflowPunct/>
              <w:topLinePunct w:val="0"/>
              <w:autoSpaceDE/>
              <w:autoSpaceDN/>
              <w:bidi w:val="0"/>
              <w:adjustRightInd/>
              <w:snapToGrid w:val="0"/>
              <w:spacing w:after="0" w:line="280" w:lineRule="exact"/>
              <w:ind w:firstLine="420" w:firstLineChars="200"/>
              <w:textAlignment w:val="auto"/>
              <w:rPr>
                <w:rFonts w:hint="eastAsia"/>
                <w:lang w:val="en-US" w:eastAsia="zh-CN"/>
              </w:rPr>
            </w:pPr>
            <w:r>
              <w:rPr>
                <w:rFonts w:hint="eastAsia"/>
                <w:lang w:val="en-US" w:eastAsia="zh-CN"/>
              </w:rPr>
              <w:t>数据对照：项目分类对照，项目编码及代号对照，预算科目标准与财务报销科目对照；</w:t>
            </w:r>
          </w:p>
          <w:p w14:paraId="30C8422B">
            <w:pPr>
              <w:pStyle w:val="2"/>
              <w:keepNext w:val="0"/>
              <w:keepLines w:val="0"/>
              <w:pageBreakBefore w:val="0"/>
              <w:widowControl w:val="0"/>
              <w:kinsoku/>
              <w:wordWrap/>
              <w:overflowPunct/>
              <w:topLinePunct w:val="0"/>
              <w:autoSpaceDE/>
              <w:autoSpaceDN/>
              <w:bidi w:val="0"/>
              <w:adjustRightInd/>
              <w:snapToGrid w:val="0"/>
              <w:spacing w:after="0" w:line="280" w:lineRule="exact"/>
              <w:ind w:firstLine="420" w:firstLineChars="200"/>
              <w:textAlignment w:val="auto"/>
              <w:rPr>
                <w:rFonts w:hint="eastAsia"/>
                <w:lang w:val="en-US" w:eastAsia="zh-CN"/>
              </w:rPr>
            </w:pPr>
            <w:r>
              <w:rPr>
                <w:rFonts w:hint="eastAsia"/>
                <w:lang w:val="en-US" w:eastAsia="zh-CN"/>
              </w:rPr>
              <w:t>信息共享：项目预算信息共享，银行到款信息共享，项目入账信息共享，财务报销信息共享；</w:t>
            </w:r>
          </w:p>
          <w:p w14:paraId="46F50641">
            <w:pPr>
              <w:pStyle w:val="2"/>
              <w:keepNext w:val="0"/>
              <w:keepLines w:val="0"/>
              <w:pageBreakBefore w:val="0"/>
              <w:widowControl w:val="0"/>
              <w:kinsoku/>
              <w:wordWrap/>
              <w:overflowPunct/>
              <w:topLinePunct w:val="0"/>
              <w:autoSpaceDE/>
              <w:autoSpaceDN/>
              <w:bidi w:val="0"/>
              <w:adjustRightInd/>
              <w:snapToGrid w:val="0"/>
              <w:spacing w:after="0" w:line="280" w:lineRule="exact"/>
              <w:ind w:firstLine="420" w:firstLineChars="200"/>
              <w:textAlignment w:val="auto"/>
              <w:rPr>
                <w:rFonts w:hint="eastAsia"/>
                <w:lang w:val="en-US" w:eastAsia="zh-CN"/>
              </w:rPr>
            </w:pPr>
            <w:r>
              <w:rPr>
                <w:rFonts w:hint="eastAsia"/>
                <w:lang w:val="en-US" w:eastAsia="zh-CN"/>
              </w:rPr>
              <w:t>数据同步：展示科研与财务系统共享信息及同步状态，提供同步核对功能。</w:t>
            </w:r>
          </w:p>
          <w:p w14:paraId="428FB378">
            <w:pPr>
              <w:pStyle w:val="2"/>
              <w:keepNext w:val="0"/>
              <w:keepLines w:val="0"/>
              <w:pageBreakBefore w:val="0"/>
              <w:widowControl w:val="0"/>
              <w:kinsoku/>
              <w:wordWrap/>
              <w:overflowPunct/>
              <w:topLinePunct w:val="0"/>
              <w:autoSpaceDE/>
              <w:autoSpaceDN/>
              <w:bidi w:val="0"/>
              <w:adjustRightInd/>
              <w:snapToGrid w:val="0"/>
              <w:spacing w:after="0" w:line="280" w:lineRule="exact"/>
              <w:ind w:firstLine="420" w:firstLineChars="200"/>
              <w:textAlignment w:val="auto"/>
              <w:rPr>
                <w:rFonts w:hint="eastAsia"/>
                <w:lang w:val="en-US" w:eastAsia="zh-CN"/>
              </w:rPr>
            </w:pPr>
            <w:r>
              <w:rPr>
                <w:rFonts w:hint="eastAsia"/>
                <w:lang w:val="en-US" w:eastAsia="zh-CN"/>
              </w:rPr>
              <w:t>9.2 业务协同</w:t>
            </w:r>
          </w:p>
          <w:p w14:paraId="593C3AFE">
            <w:pPr>
              <w:pStyle w:val="2"/>
              <w:keepNext w:val="0"/>
              <w:keepLines w:val="0"/>
              <w:pageBreakBefore w:val="0"/>
              <w:widowControl w:val="0"/>
              <w:kinsoku/>
              <w:wordWrap/>
              <w:overflowPunct/>
              <w:topLinePunct w:val="0"/>
              <w:autoSpaceDE/>
              <w:autoSpaceDN/>
              <w:bidi w:val="0"/>
              <w:adjustRightInd/>
              <w:snapToGrid w:val="0"/>
              <w:spacing w:after="0" w:line="280" w:lineRule="exact"/>
              <w:ind w:firstLine="420" w:firstLineChars="200"/>
              <w:textAlignment w:val="auto"/>
              <w:rPr>
                <w:rFonts w:hint="eastAsia"/>
                <w:lang w:val="en-US" w:eastAsia="zh-CN"/>
              </w:rPr>
            </w:pPr>
            <w:r>
              <w:rPr>
                <w:rFonts w:hint="eastAsia"/>
                <w:lang w:val="en-US" w:eastAsia="zh-CN"/>
              </w:rPr>
              <w:t>实现科研管理部门与财务管理部门在银行到款、项目入账、经费报销等方面线上业务协同，同时经费执行统计和经费执行动态预警功能。</w:t>
            </w:r>
          </w:p>
          <w:p w14:paraId="3CDEA489">
            <w:pPr>
              <w:pStyle w:val="2"/>
              <w:keepNext w:val="0"/>
              <w:keepLines w:val="0"/>
              <w:pageBreakBefore w:val="0"/>
              <w:widowControl w:val="0"/>
              <w:kinsoku/>
              <w:wordWrap/>
              <w:overflowPunct/>
              <w:topLinePunct w:val="0"/>
              <w:autoSpaceDE/>
              <w:autoSpaceDN/>
              <w:bidi w:val="0"/>
              <w:adjustRightInd/>
              <w:snapToGrid w:val="0"/>
              <w:spacing w:after="0" w:line="280" w:lineRule="exact"/>
              <w:ind w:firstLine="420" w:firstLineChars="200"/>
              <w:textAlignment w:val="auto"/>
              <w:rPr>
                <w:rFonts w:hint="eastAsia"/>
                <w:lang w:val="en-US" w:eastAsia="zh-CN"/>
              </w:rPr>
            </w:pPr>
            <w:r>
              <w:rPr>
                <w:rFonts w:hint="eastAsia"/>
                <w:lang w:val="en-US" w:eastAsia="zh-CN"/>
              </w:rPr>
              <w:t>经费执行统计：与财务系统对接，同步获取项目经费报销数据，可从项目类别、单位、时间等角度，对科研项目经费到账和执行情况进行统计分析。</w:t>
            </w:r>
          </w:p>
          <w:p w14:paraId="4696D7B2">
            <w:pPr>
              <w:pStyle w:val="2"/>
              <w:keepNext w:val="0"/>
              <w:keepLines w:val="0"/>
              <w:pageBreakBefore w:val="0"/>
              <w:widowControl w:val="0"/>
              <w:kinsoku/>
              <w:wordWrap/>
              <w:overflowPunct/>
              <w:topLinePunct w:val="0"/>
              <w:autoSpaceDE/>
              <w:autoSpaceDN/>
              <w:bidi w:val="0"/>
              <w:adjustRightInd/>
              <w:snapToGrid w:val="0"/>
              <w:spacing w:after="0" w:line="280" w:lineRule="exact"/>
              <w:ind w:firstLine="420" w:firstLineChars="200"/>
              <w:textAlignment w:val="auto"/>
              <w:rPr>
                <w:rFonts w:hint="eastAsia"/>
                <w:lang w:val="en-US" w:eastAsia="zh-CN"/>
              </w:rPr>
            </w:pPr>
            <w:r>
              <w:rPr>
                <w:rFonts w:hint="eastAsia"/>
                <w:lang w:val="en-US" w:eastAsia="zh-CN"/>
              </w:rPr>
              <w:t>经费执行预警：科研管理人员可针对不同类别项目，设置经费预警触发条件、发送方式、发送时间、发送内容等信息。对经费执行进度较慢触发预警条件的项目，系统自动向项目负责人发送预警信息。</w:t>
            </w:r>
          </w:p>
          <w:p w14:paraId="3206A5EC">
            <w:pPr>
              <w:pStyle w:val="2"/>
              <w:keepNext w:val="0"/>
              <w:keepLines w:val="0"/>
              <w:pageBreakBefore w:val="0"/>
              <w:widowControl w:val="0"/>
              <w:kinsoku/>
              <w:wordWrap/>
              <w:overflowPunct/>
              <w:topLinePunct w:val="0"/>
              <w:autoSpaceDE/>
              <w:autoSpaceDN/>
              <w:bidi w:val="0"/>
              <w:adjustRightInd/>
              <w:snapToGrid w:val="0"/>
              <w:spacing w:after="0" w:line="280" w:lineRule="exact"/>
              <w:ind w:firstLine="420" w:firstLineChars="200"/>
              <w:textAlignment w:val="auto"/>
              <w:rPr>
                <w:rFonts w:hint="eastAsia"/>
                <w:lang w:val="en-US" w:eastAsia="zh-CN"/>
              </w:rPr>
            </w:pPr>
            <w:r>
              <w:rPr>
                <w:rFonts w:hint="eastAsia"/>
                <w:lang w:val="en-US" w:eastAsia="zh-CN"/>
              </w:rPr>
              <w:t>9.3 数据处理</w:t>
            </w:r>
          </w:p>
          <w:p w14:paraId="4C8A4235">
            <w:pPr>
              <w:pStyle w:val="2"/>
              <w:keepNext w:val="0"/>
              <w:keepLines w:val="0"/>
              <w:pageBreakBefore w:val="0"/>
              <w:widowControl w:val="0"/>
              <w:kinsoku/>
              <w:wordWrap/>
              <w:overflowPunct/>
              <w:topLinePunct w:val="0"/>
              <w:autoSpaceDE/>
              <w:autoSpaceDN/>
              <w:bidi w:val="0"/>
              <w:adjustRightInd/>
              <w:snapToGrid w:val="0"/>
              <w:spacing w:after="0" w:line="280" w:lineRule="exact"/>
              <w:ind w:firstLine="420" w:firstLineChars="200"/>
              <w:textAlignment w:val="auto"/>
              <w:rPr>
                <w:rFonts w:hint="eastAsia"/>
                <w:lang w:val="en-US" w:eastAsia="zh-CN"/>
              </w:rPr>
            </w:pPr>
            <w:r>
              <w:rPr>
                <w:rFonts w:hint="eastAsia"/>
                <w:lang w:val="en-US" w:eastAsia="zh-CN"/>
              </w:rPr>
              <w:t>制定科研经费历史数据处理策略，对已结题项目和在研项目科研经费历史数据进行处理，需针对不同类型项目特点对科研经费历史数据进行差异化处理。</w:t>
            </w:r>
          </w:p>
          <w:p w14:paraId="7C6B45FE">
            <w:pPr>
              <w:pStyle w:val="2"/>
              <w:keepNext w:val="0"/>
              <w:keepLines w:val="0"/>
              <w:pageBreakBefore w:val="0"/>
              <w:widowControl w:val="0"/>
              <w:kinsoku/>
              <w:wordWrap/>
              <w:overflowPunct/>
              <w:topLinePunct w:val="0"/>
              <w:autoSpaceDE/>
              <w:autoSpaceDN/>
              <w:bidi w:val="0"/>
              <w:adjustRightInd/>
              <w:snapToGrid w:val="0"/>
              <w:spacing w:after="0" w:line="280" w:lineRule="exact"/>
              <w:ind w:firstLine="420" w:firstLineChars="200"/>
              <w:textAlignment w:val="auto"/>
              <w:rPr>
                <w:rFonts w:hint="eastAsia"/>
                <w:lang w:val="en-US" w:eastAsia="zh-CN"/>
              </w:rPr>
            </w:pPr>
            <w:r>
              <w:rPr>
                <w:rFonts w:hint="eastAsia"/>
                <w:lang w:val="en-US" w:eastAsia="zh-CN"/>
              </w:rPr>
              <w:t>提供数据清洗协同，提供系统运转过程中异常数据处理和数据纠偏。</w:t>
            </w:r>
          </w:p>
          <w:p w14:paraId="1E02E416">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十、科研画像</w:t>
            </w:r>
          </w:p>
          <w:p w14:paraId="05AA276D">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提供科研人员、团队及科室科研数据多维度画像分析，支撑科研评价。</w:t>
            </w:r>
          </w:p>
          <w:p w14:paraId="5B4FE61D">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t>十一、AI智能填报</w:t>
            </w:r>
          </w:p>
          <w:p w14:paraId="01DB2867">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在平台中接入AI大模型，开发智能体工具进行对申报书、合同、成果进行智能填报。</w:t>
            </w:r>
          </w:p>
          <w:p w14:paraId="4DE829D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1</w:t>
            </w:r>
            <w:r>
              <w:rPr>
                <w:rFonts w:hint="eastAsia" w:ascii="宋体" w:hAnsi="宋体" w:eastAsia="宋体" w:cs="宋体"/>
                <w:sz w:val="21"/>
                <w:szCs w:val="21"/>
                <w:lang w:val="en-US" w:eastAsia="zh-CN"/>
              </w:rPr>
              <w:t>.1 AI智能填充借助强大的自然语言处理和机器学习算法，能够识别和提取合同/任务书等相关文档中的重要信息，从而减轻用户手动录入负担，提高准确性、节省时间。AI大语言模型会针对每个章节、段落提取特定字段或关键信息。比如项目名称、负责人、开始日期、结束日期等，提取后系统会对提取的结果进一步分析和处理，包括数据清洗、去重、标准化、分类等操作，以便将信息变得更有用和易于理解，例如：提取到项目分类后，系统自动根据特定的规则，匹配相应的项目级别、教育部统计归属、项目来源。</w:t>
            </w:r>
          </w:p>
          <w:p w14:paraId="641FC0B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1</w:t>
            </w:r>
            <w:r>
              <w:rPr>
                <w:rFonts w:hint="eastAsia" w:ascii="宋体" w:hAnsi="宋体" w:eastAsia="宋体" w:cs="宋体"/>
                <w:sz w:val="21"/>
                <w:szCs w:val="21"/>
                <w:lang w:val="en-US" w:eastAsia="zh-CN"/>
              </w:rPr>
              <w:t>.2 纵向项目登记：上传项目任务书，系统将智能提取批准号、项目名称、项目来源单位、立项日期、开始日期、计划结项日期、批准经费、配套经费、外拨经费、自筹经费、成果形式等信息，并自动填入表单。</w:t>
            </w:r>
          </w:p>
          <w:p w14:paraId="51DD0A8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1</w:t>
            </w:r>
            <w:r>
              <w:rPr>
                <w:rFonts w:hint="eastAsia" w:ascii="宋体" w:hAnsi="宋体" w:eastAsia="宋体" w:cs="宋体"/>
                <w:sz w:val="21"/>
                <w:szCs w:val="21"/>
                <w:lang w:val="en-US" w:eastAsia="zh-CN"/>
              </w:rPr>
              <w:t>.3 横向项目登记：上传合同附件，系统将智能提取合同名称、合同经费、签订日期、开始日期、终止日期、甲方名称、甲方联系人、甲方联系电话、甲方地址、甲方邮编、备注等信息，并自动填入表单。</w:t>
            </w:r>
          </w:p>
          <w:p w14:paraId="3404E0C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1</w:t>
            </w:r>
            <w:r>
              <w:rPr>
                <w:rFonts w:hint="eastAsia" w:ascii="宋体" w:hAnsi="宋体" w:eastAsia="宋体" w:cs="宋体"/>
                <w:sz w:val="21"/>
                <w:szCs w:val="21"/>
                <w:lang w:val="en-US" w:eastAsia="zh-CN"/>
              </w:rPr>
              <w:t>.4 出账合同登记：上传合同附件，系统将智能提取合同名称、合同金额、签订日期、结束日期、供方单位、供方社会信用代码、供方联系人名称、供方电话、供方收款人、供方开户银行、供方开户账号、供方国别、备注等信息，并自动填入表单。</w:t>
            </w:r>
          </w:p>
          <w:p w14:paraId="4767741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1</w:t>
            </w:r>
            <w:r>
              <w:rPr>
                <w:rFonts w:hint="eastAsia" w:ascii="宋体" w:hAnsi="宋体" w:eastAsia="宋体" w:cs="宋体"/>
                <w:sz w:val="21"/>
                <w:szCs w:val="21"/>
                <w:lang w:val="en-US" w:eastAsia="zh-CN"/>
              </w:rPr>
              <w:t>.5 论文登记：上传论文原文附件，系统将智能提取包括论文标题、论文类别、论文标题、发表日期、发表期刊、卷期页、ISSN号等信息，并自动填入表单。</w:t>
            </w:r>
          </w:p>
          <w:p w14:paraId="74E953F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280" w:lineRule="exact"/>
              <w:ind w:left="0" w:righ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1</w:t>
            </w:r>
            <w:r>
              <w:rPr>
                <w:rFonts w:hint="eastAsia" w:ascii="宋体" w:hAnsi="宋体" w:eastAsia="宋体" w:cs="宋体"/>
                <w:sz w:val="21"/>
                <w:szCs w:val="21"/>
                <w:lang w:val="en-US" w:eastAsia="zh-CN"/>
              </w:rPr>
              <w:t>.6 以纵向项目AI解析为例，AI可智能识别批准号，项目名称，项目分类，项目级别，申请代码，项目来源单位，项目状态，立项日期等。识别完成后可智能填充到对应立项信息中，节省申报人填报时间。已智能填充的蓝色高亮显示，可以进行调整修改。</w:t>
            </w:r>
          </w:p>
          <w:p w14:paraId="721A6BF7">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1</w:t>
            </w:r>
            <w:r>
              <w:rPr>
                <w:rFonts w:hint="eastAsia" w:ascii="宋体" w:hAnsi="宋体" w:eastAsia="宋体" w:cs="宋体"/>
                <w:sz w:val="21"/>
                <w:szCs w:val="21"/>
                <w:lang w:val="en-US" w:eastAsia="zh-CN"/>
              </w:rPr>
              <w:t>.7 通过接入医院AI进行AI的训练以及接入到科研创新服务平台对纵向项目立项书和横向合同文本的自动解析和关键业务属性提取，实现提取业务属性的系统内自动填充，用户可对填充结果进行修改、补充和确认。</w:t>
            </w:r>
          </w:p>
          <w:p w14:paraId="7CAE05B1">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黑体" w:hAnsi="黑体" w:eastAsia="黑体" w:cs="黑体"/>
                <w:sz w:val="21"/>
                <w:szCs w:val="21"/>
                <w:lang w:val="en-US" w:eastAsia="zh-CN"/>
              </w:rPr>
            </w:pPr>
            <w:r>
              <w:rPr>
                <w:rFonts w:hint="eastAsia" w:ascii="黑体" w:hAnsi="黑体" w:eastAsia="黑体" w:cs="黑体"/>
                <w:sz w:val="21"/>
                <w:szCs w:val="21"/>
                <w:lang w:val="en-US" w:eastAsia="zh-CN"/>
              </w:rPr>
              <w:t>十二</w:t>
            </w:r>
            <w:r>
              <w:rPr>
                <w:rFonts w:hint="default" w:ascii="黑体" w:hAnsi="黑体" w:eastAsia="黑体" w:cs="黑体"/>
                <w:sz w:val="21"/>
                <w:szCs w:val="21"/>
                <w:lang w:val="en-US" w:eastAsia="zh-CN"/>
              </w:rPr>
              <w:t>、移动科研</w:t>
            </w:r>
          </w:p>
          <w:p w14:paraId="235807AA">
            <w:pPr>
              <w:pStyle w:val="18"/>
              <w:keepNext w:val="0"/>
              <w:keepLines w:val="0"/>
              <w:pageBreakBefore w:val="0"/>
              <w:numPr>
                <w:ilvl w:val="0"/>
                <w:numId w:val="0"/>
              </w:numPr>
              <w:tabs>
                <w:tab w:val="left" w:pos="0"/>
              </w:tabs>
              <w:kinsoku/>
              <w:wordWrap/>
              <w:overflowPunct/>
              <w:topLinePunct w:val="0"/>
              <w:autoSpaceDE/>
              <w:autoSpaceDN/>
              <w:bidi w:val="0"/>
              <w:adjustRightInd/>
              <w:snapToGrid w:val="0"/>
              <w:spacing w:after="0" w:line="280" w:lineRule="exact"/>
              <w:ind w:firstLine="420" w:firstLineChars="200"/>
              <w:textAlignment w:val="auto"/>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通过与钉钉对接，实现科研动态信息（通知公告、待办事项、项目立项、经费入账、绩效发放、执行预警等）实时推送到个人移动端，提升科研服务体验。</w:t>
            </w:r>
          </w:p>
        </w:tc>
      </w:tr>
      <w:tr w14:paraId="30E1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49" w:type="dxa"/>
            <w:vAlign w:val="center"/>
          </w:tcPr>
          <w:p w14:paraId="6603C558">
            <w:pPr>
              <w:pStyle w:val="3"/>
              <w:widowControl/>
              <w:shd w:val="clear" w:color="auto" w:fill="FFFFFF"/>
              <w:spacing w:before="0" w:beforeAutospacing="0" w:after="0" w:afterAutospacing="0" w:line="23" w:lineRule="atLeast"/>
              <w:jc w:val="center"/>
              <w:rPr>
                <w:rFonts w:hint="eastAsia" w:ascii="宋体" w:hAnsi="宋体" w:eastAsia="宋体" w:cs="宋体"/>
                <w:b w:val="0"/>
                <w:bCs/>
                <w:sz w:val="21"/>
                <w:szCs w:val="21"/>
                <w:shd w:val="clear" w:color="auto" w:fill="FFFFFF"/>
                <w:lang w:val="en-US" w:eastAsia="zh-CN"/>
              </w:rPr>
            </w:pPr>
            <w:r>
              <w:rPr>
                <w:rFonts w:hint="eastAsia" w:ascii="宋体" w:hAnsi="宋体" w:eastAsia="宋体" w:cs="宋体"/>
                <w:b w:val="0"/>
                <w:bCs/>
                <w:sz w:val="21"/>
                <w:szCs w:val="21"/>
                <w:shd w:val="clear" w:color="auto" w:fill="FFFFFF"/>
                <w:lang w:val="en-US" w:eastAsia="zh-CN"/>
              </w:rPr>
              <w:t>硬件设施要求</w:t>
            </w:r>
          </w:p>
        </w:tc>
        <w:tc>
          <w:tcPr>
            <w:tcW w:w="7477" w:type="dxa"/>
          </w:tcPr>
          <w:p w14:paraId="39B6B243">
            <w:pPr>
              <w:keepNext w:val="0"/>
              <w:keepLines w:val="0"/>
              <w:pageBreakBefore w:val="0"/>
              <w:kinsoku/>
              <w:wordWrap/>
              <w:overflowPunct/>
              <w:topLinePunct w:val="0"/>
              <w:autoSpaceDE/>
              <w:autoSpaceDN/>
              <w:bidi w:val="0"/>
              <w:adjustRightInd/>
              <w:snapToGrid/>
              <w:spacing w:after="0" w:line="280" w:lineRule="exact"/>
              <w:jc w:val="left"/>
              <w:rPr>
                <w:rFonts w:hint="eastAsia" w:ascii="宋体" w:hAnsi="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1.</w:t>
            </w:r>
            <w:r>
              <w:rPr>
                <w:rFonts w:hint="eastAsia" w:ascii="宋体" w:hAnsi="宋体" w:cs="宋体"/>
                <w:color w:val="000000"/>
                <w:kern w:val="0"/>
                <w:sz w:val="22"/>
                <w:szCs w:val="22"/>
                <w:lang w:bidi="ar"/>
              </w:rPr>
              <w:t>服务器</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val="en-US" w:eastAsia="zh-CN" w:bidi="ar"/>
              </w:rPr>
              <w:t>2台</w:t>
            </w:r>
          </w:p>
          <w:p w14:paraId="1CF878A7">
            <w:pPr>
              <w:keepNext w:val="0"/>
              <w:keepLines w:val="0"/>
              <w:pageBreakBefore w:val="0"/>
              <w:widowControl/>
              <w:kinsoku/>
              <w:wordWrap/>
              <w:overflowPunct/>
              <w:topLinePunct w:val="0"/>
              <w:autoSpaceDE/>
              <w:autoSpaceDN/>
              <w:bidi w:val="0"/>
              <w:adjustRightInd/>
              <w:snapToGrid/>
              <w:spacing w:after="0" w:line="280" w:lineRule="exact"/>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CPU: 主频 2.8G或2.8G以上  四核或者四核以上</w:t>
            </w:r>
          </w:p>
          <w:p w14:paraId="4983153C">
            <w:pPr>
              <w:keepNext w:val="0"/>
              <w:keepLines w:val="0"/>
              <w:pageBreakBefore w:val="0"/>
              <w:widowControl/>
              <w:kinsoku/>
              <w:wordWrap/>
              <w:overflowPunct/>
              <w:topLinePunct w:val="0"/>
              <w:autoSpaceDE/>
              <w:autoSpaceDN/>
              <w:bidi w:val="0"/>
              <w:adjustRightInd/>
              <w:snapToGrid/>
              <w:spacing w:after="0" w:line="280" w:lineRule="exact"/>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RAM</w:t>
            </w:r>
            <w:r>
              <w:rPr>
                <w:rFonts w:hint="eastAsia" w:ascii="宋体" w:hAnsi="宋体" w:cs="宋体"/>
                <w:color w:val="000000"/>
                <w:kern w:val="0"/>
                <w:sz w:val="22"/>
                <w:szCs w:val="22"/>
                <w:lang w:bidi="ar"/>
              </w:rPr>
              <w:tab/>
            </w:r>
            <w:r>
              <w:rPr>
                <w:rFonts w:hint="eastAsia" w:ascii="宋体" w:hAnsi="宋体" w:cs="宋体"/>
                <w:color w:val="000000"/>
                <w:kern w:val="0"/>
                <w:sz w:val="22"/>
                <w:szCs w:val="22"/>
                <w:lang w:bidi="ar"/>
              </w:rPr>
              <w:t>：8G或者16G</w:t>
            </w:r>
          </w:p>
          <w:p w14:paraId="503FE874">
            <w:pPr>
              <w:pStyle w:val="2"/>
              <w:keepNext w:val="0"/>
              <w:keepLines w:val="0"/>
              <w:pageBreakBefore w:val="0"/>
              <w:kinsoku/>
              <w:wordWrap/>
              <w:overflowPunct/>
              <w:topLinePunct w:val="0"/>
              <w:autoSpaceDE/>
              <w:autoSpaceDN/>
              <w:bidi w:val="0"/>
              <w:adjustRightInd/>
              <w:snapToGrid/>
              <w:spacing w:after="0" w:line="280" w:lineRule="exact"/>
              <w:rPr>
                <w:rFonts w:hint="eastAsia"/>
                <w:lang w:val="en-US" w:eastAsia="zh-CN"/>
              </w:rPr>
            </w:pPr>
            <w:r>
              <w:rPr>
                <w:rFonts w:hint="eastAsia"/>
                <w:lang w:val="en-US" w:eastAsia="zh-CN"/>
              </w:rPr>
              <w:t>应用数据： 60 GB  数据库数据： 1 TB</w:t>
            </w:r>
          </w:p>
          <w:p w14:paraId="69854B10">
            <w:pPr>
              <w:keepNext w:val="0"/>
              <w:keepLines w:val="0"/>
              <w:pageBreakBefore w:val="0"/>
              <w:kinsoku/>
              <w:wordWrap/>
              <w:overflowPunct/>
              <w:topLinePunct w:val="0"/>
              <w:autoSpaceDE/>
              <w:autoSpaceDN/>
              <w:bidi w:val="0"/>
              <w:adjustRightInd/>
              <w:snapToGrid/>
              <w:spacing w:after="0" w:line="280" w:lineRule="exact"/>
              <w:rPr>
                <w:rFonts w:hint="eastAsia" w:ascii="宋体" w:hAnsi="宋体" w:cs="宋体"/>
                <w:color w:val="000000"/>
                <w:kern w:val="0"/>
                <w:sz w:val="22"/>
                <w:szCs w:val="22"/>
                <w:lang w:val="en-US" w:eastAsia="zh-CN" w:bidi="ar"/>
              </w:rPr>
            </w:pPr>
            <w:r>
              <w:rPr>
                <w:rFonts w:hint="eastAsia"/>
                <w:lang w:val="en-US" w:eastAsia="zh-CN"/>
              </w:rPr>
              <w:t>2.</w:t>
            </w:r>
            <w:r>
              <w:rPr>
                <w:rFonts w:hint="eastAsia" w:ascii="宋体" w:hAnsi="宋体" w:cs="宋体"/>
                <w:color w:val="000000"/>
                <w:kern w:val="0"/>
                <w:sz w:val="22"/>
                <w:szCs w:val="22"/>
                <w:lang w:bidi="ar"/>
              </w:rPr>
              <w:t>数据库</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val="en-US" w:eastAsia="zh-CN" w:bidi="ar"/>
              </w:rPr>
              <w:t>2套</w:t>
            </w:r>
          </w:p>
          <w:p w14:paraId="77C6A3B7">
            <w:pPr>
              <w:keepNext w:val="0"/>
              <w:keepLines w:val="0"/>
              <w:pageBreakBefore w:val="0"/>
              <w:widowControl/>
              <w:kinsoku/>
              <w:wordWrap/>
              <w:overflowPunct/>
              <w:topLinePunct w:val="0"/>
              <w:autoSpaceDE/>
              <w:autoSpaceDN/>
              <w:bidi w:val="0"/>
              <w:adjustRightInd/>
              <w:snapToGrid/>
              <w:spacing w:after="0" w:line="280" w:lineRule="exact"/>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名称： SQL Server    </w:t>
            </w:r>
          </w:p>
          <w:p w14:paraId="78CDE078">
            <w:pPr>
              <w:pStyle w:val="2"/>
              <w:keepNext w:val="0"/>
              <w:keepLines w:val="0"/>
              <w:pageBreakBefore w:val="0"/>
              <w:kinsoku/>
              <w:wordWrap/>
              <w:overflowPunct/>
              <w:topLinePunct w:val="0"/>
              <w:autoSpaceDE/>
              <w:autoSpaceDN/>
              <w:bidi w:val="0"/>
              <w:adjustRightInd/>
              <w:snapToGrid/>
              <w:spacing w:after="0" w:line="280" w:lineRule="exact"/>
              <w:rPr>
                <w:rFonts w:hint="default"/>
                <w:lang w:val="en-US" w:eastAsia="zh-CN"/>
              </w:rPr>
            </w:pPr>
            <w:r>
              <w:rPr>
                <w:rFonts w:hint="eastAsia" w:ascii="宋体" w:hAnsi="宋体" w:cs="宋体"/>
                <w:color w:val="000000"/>
                <w:kern w:val="0"/>
                <w:sz w:val="22"/>
                <w:szCs w:val="22"/>
                <w:lang w:bidi="ar"/>
              </w:rPr>
              <w:t>版本:SQL SERVER 2008 r2及以上版本</w:t>
            </w:r>
          </w:p>
        </w:tc>
      </w:tr>
      <w:tr w14:paraId="7AB9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2349" w:type="dxa"/>
            <w:vAlign w:val="center"/>
          </w:tcPr>
          <w:p w14:paraId="5607642D">
            <w:pPr>
              <w:pStyle w:val="3"/>
              <w:widowControl/>
              <w:shd w:val="clear" w:color="auto" w:fill="FFFFFF"/>
              <w:spacing w:before="0" w:beforeAutospacing="0" w:after="0" w:afterAutospacing="0" w:line="23" w:lineRule="atLeast"/>
              <w:jc w:val="center"/>
              <w:rPr>
                <w:rFonts w:hint="eastAsia" w:ascii="宋体" w:hAnsi="宋体" w:eastAsia="宋体" w:cs="宋体"/>
                <w:b w:val="0"/>
                <w:bCs/>
                <w:sz w:val="21"/>
                <w:szCs w:val="21"/>
                <w:shd w:val="clear" w:color="auto" w:fill="FFFFFF"/>
                <w:lang w:val="en-US" w:eastAsia="zh-CN"/>
              </w:rPr>
            </w:pPr>
            <w:r>
              <w:rPr>
                <w:rFonts w:hint="eastAsia" w:ascii="宋体" w:hAnsi="宋体" w:eastAsia="宋体" w:cs="宋体"/>
                <w:b w:val="0"/>
                <w:bCs/>
                <w:sz w:val="21"/>
                <w:szCs w:val="21"/>
                <w:shd w:val="clear" w:color="auto" w:fill="FFFFFF"/>
                <w:lang w:val="en-US" w:eastAsia="zh-CN"/>
              </w:rPr>
              <w:t>与其他系统的集成要求</w:t>
            </w:r>
          </w:p>
        </w:tc>
        <w:tc>
          <w:tcPr>
            <w:tcW w:w="7477" w:type="dxa"/>
          </w:tcPr>
          <w:p w14:paraId="749B091B">
            <w:pPr>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钉钉、财务系统、人事系统、短信/邮件平台</w:t>
            </w:r>
          </w:p>
        </w:tc>
      </w:tr>
      <w:tr w14:paraId="2A7EC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49" w:type="dxa"/>
            <w:vAlign w:val="center"/>
          </w:tcPr>
          <w:p w14:paraId="5C88DCDA">
            <w:pPr>
              <w:pStyle w:val="3"/>
              <w:widowControl/>
              <w:shd w:val="clear" w:color="auto" w:fill="FFFFFF"/>
              <w:spacing w:before="0" w:beforeAutospacing="0" w:after="0" w:afterAutospacing="0" w:line="23" w:lineRule="atLeast"/>
              <w:jc w:val="center"/>
              <w:rPr>
                <w:rFonts w:hint="eastAsia" w:ascii="宋体" w:hAnsi="宋体" w:eastAsia="宋体" w:cs="宋体"/>
                <w:b w:val="0"/>
                <w:bCs/>
                <w:sz w:val="21"/>
                <w:szCs w:val="21"/>
                <w:shd w:val="clear" w:color="auto" w:fill="FFFFFF"/>
                <w:lang w:val="en-US" w:eastAsia="zh-CN"/>
              </w:rPr>
            </w:pPr>
            <w:r>
              <w:rPr>
                <w:rFonts w:hint="eastAsia" w:ascii="宋体" w:hAnsi="宋体" w:eastAsia="宋体" w:cs="宋体"/>
                <w:b w:val="0"/>
                <w:bCs/>
                <w:sz w:val="21"/>
                <w:szCs w:val="21"/>
                <w:shd w:val="clear" w:color="auto" w:fill="FFFFFF"/>
                <w:lang w:val="en-US" w:eastAsia="zh-CN"/>
              </w:rPr>
              <w:t>安全性与权限控制要求</w:t>
            </w:r>
          </w:p>
        </w:tc>
        <w:tc>
          <w:tcPr>
            <w:tcW w:w="7477" w:type="dxa"/>
          </w:tcPr>
          <w:p w14:paraId="1D00C9F6">
            <w:pPr>
              <w:pStyle w:val="5"/>
              <w:adjustRightInd w:val="0"/>
              <w:snapToGrid w:val="0"/>
              <w:spacing w:after="0" w:line="300" w:lineRule="auto"/>
              <w:ind w:firstLine="420" w:firstLineChars="200"/>
              <w:jc w:val="left"/>
              <w:rPr>
                <w:rFonts w:hint="eastAsia" w:ascii="宋体" w:hAnsi="宋体" w:cs="宋体"/>
                <w:szCs w:val="24"/>
              </w:rPr>
            </w:pPr>
            <w:r>
              <w:rPr>
                <w:rFonts w:hint="eastAsia" w:ascii="宋体" w:hAnsi="宋体" w:cs="宋体"/>
                <w:szCs w:val="24"/>
              </w:rPr>
              <w:t>1</w:t>
            </w:r>
            <w:r>
              <w:rPr>
                <w:rFonts w:hint="eastAsia" w:ascii="宋体" w:hAnsi="宋体" w:cs="宋体"/>
                <w:szCs w:val="24"/>
                <w:lang w:val="en-US" w:eastAsia="zh-CN"/>
              </w:rPr>
              <w:t>.</w:t>
            </w:r>
            <w:r>
              <w:rPr>
                <w:rFonts w:hint="eastAsia" w:ascii="宋体" w:hAnsi="宋体" w:cs="宋体"/>
                <w:szCs w:val="24"/>
              </w:rPr>
              <w:t>系统需满足《网络安全等级保护条例》相关要求。</w:t>
            </w:r>
          </w:p>
          <w:p w14:paraId="066E9A67">
            <w:pPr>
              <w:pStyle w:val="5"/>
              <w:adjustRightInd w:val="0"/>
              <w:snapToGrid w:val="0"/>
              <w:spacing w:after="0" w:line="300" w:lineRule="auto"/>
              <w:ind w:firstLine="420" w:firstLineChars="200"/>
              <w:jc w:val="left"/>
              <w:rPr>
                <w:rFonts w:hint="default" w:ascii="宋体" w:hAnsi="宋体" w:eastAsia="宋体" w:cs="宋体"/>
                <w:sz w:val="21"/>
                <w:szCs w:val="21"/>
                <w:lang w:val="en-US" w:eastAsia="zh-CN"/>
              </w:rPr>
            </w:pPr>
            <w:r>
              <w:rPr>
                <w:rFonts w:hint="eastAsia" w:ascii="宋体" w:hAnsi="宋体" w:cs="宋体"/>
                <w:szCs w:val="24"/>
              </w:rPr>
              <w:t>2</w:t>
            </w:r>
            <w:r>
              <w:rPr>
                <w:rFonts w:hint="eastAsia" w:ascii="宋体" w:hAnsi="宋体" w:cs="宋体"/>
                <w:szCs w:val="24"/>
                <w:lang w:val="en-US" w:eastAsia="zh-CN"/>
              </w:rPr>
              <w:t>.</w:t>
            </w:r>
            <w:r>
              <w:rPr>
                <w:rFonts w:hint="eastAsia" w:ascii="宋体" w:hAnsi="宋体" w:cs="宋体"/>
                <w:szCs w:val="24"/>
              </w:rPr>
              <w:t>配合医院每年的信息安全等级保护测评、公安局及卫健委年度安全检查、公安部护网行动，对上级和检测报告中指出涉及</w:t>
            </w:r>
            <w:r>
              <w:rPr>
                <w:rFonts w:hint="eastAsia" w:ascii="宋体" w:hAnsi="宋体" w:cs="宋体"/>
                <w:szCs w:val="24"/>
                <w:lang w:val="en-US" w:eastAsia="zh-CN"/>
              </w:rPr>
              <w:t>科研创新服务平台</w:t>
            </w:r>
            <w:r>
              <w:rPr>
                <w:rFonts w:hint="eastAsia" w:ascii="宋体" w:hAnsi="宋体" w:cs="宋体"/>
                <w:szCs w:val="24"/>
              </w:rPr>
              <w:t>存在的风险内容立即进行整改。</w:t>
            </w:r>
          </w:p>
        </w:tc>
      </w:tr>
      <w:tr w14:paraId="0668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8" w:hRule="atLeast"/>
        </w:trPr>
        <w:tc>
          <w:tcPr>
            <w:tcW w:w="2349" w:type="dxa"/>
            <w:vAlign w:val="center"/>
          </w:tcPr>
          <w:p w14:paraId="6FCA8396">
            <w:pPr>
              <w:pStyle w:val="3"/>
              <w:widowControl/>
              <w:shd w:val="clear" w:color="auto" w:fill="FFFFFF"/>
              <w:spacing w:before="0" w:beforeAutospacing="0" w:after="0" w:afterAutospacing="0" w:line="23" w:lineRule="atLeast"/>
              <w:jc w:val="center"/>
              <w:rPr>
                <w:rFonts w:hint="eastAsia" w:ascii="宋体" w:hAnsi="宋体" w:eastAsia="宋体" w:cs="宋体"/>
                <w:b w:val="0"/>
                <w:bCs/>
                <w:sz w:val="21"/>
                <w:szCs w:val="21"/>
                <w:shd w:val="clear" w:color="auto" w:fill="FFFFFF"/>
                <w:lang w:val="en-US" w:eastAsia="zh-CN"/>
              </w:rPr>
            </w:pPr>
            <w:r>
              <w:rPr>
                <w:rFonts w:hint="eastAsia" w:ascii="宋体" w:hAnsi="宋体" w:eastAsia="宋体" w:cs="宋体"/>
                <w:b w:val="0"/>
                <w:bCs/>
                <w:sz w:val="21"/>
                <w:szCs w:val="21"/>
                <w:shd w:val="clear" w:color="auto" w:fill="FFFFFF"/>
                <w:lang w:val="en-US" w:eastAsia="zh-CN"/>
              </w:rPr>
              <w:t>实施及后续运维服务要求</w:t>
            </w:r>
          </w:p>
        </w:tc>
        <w:tc>
          <w:tcPr>
            <w:tcW w:w="7477" w:type="dxa"/>
          </w:tcPr>
          <w:p w14:paraId="73E8B857">
            <w:pPr>
              <w:pStyle w:val="18"/>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8.1.项目实施要求</w:t>
            </w:r>
          </w:p>
          <w:p w14:paraId="79D5BD68">
            <w:pPr>
              <w:pStyle w:val="18"/>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1.交付时间：自签订合同之日起180日历日内交付使用。</w:t>
            </w:r>
          </w:p>
          <w:p w14:paraId="1CBC093D">
            <w:pPr>
              <w:pStyle w:val="18"/>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2.交付地点：医院指定地点。</w:t>
            </w:r>
          </w:p>
          <w:p w14:paraId="7AF33976">
            <w:pPr>
              <w:pStyle w:val="18"/>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3.提供专业的实施团队，并提供详细实施方案，保证系统的实施与交付质量。</w:t>
            </w:r>
          </w:p>
          <w:p w14:paraId="438CBAB2">
            <w:pPr>
              <w:pStyle w:val="18"/>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4.供应商须提供免费培训服务，并提供详细培训方案，保证使用人员能正常使用系统中的各种功能及进行日常维护。</w:t>
            </w:r>
          </w:p>
          <w:p w14:paraId="79B45F90">
            <w:pPr>
              <w:pStyle w:val="18"/>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8.2.售后维护服务及要求</w:t>
            </w:r>
          </w:p>
          <w:p w14:paraId="3FBE6EAE">
            <w:pPr>
              <w:pStyle w:val="18"/>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1.质保期：从验收合格之日起算，提供一年的免费质保期，质保期内提供系统运维、问题排查、故障处理、bug修复、系统咨询、技术支持等服务。免费质保期后，每年维保费用甲乙双方另行商定。</w:t>
            </w:r>
          </w:p>
          <w:p w14:paraId="018B0A2E">
            <w:pPr>
              <w:pStyle w:val="18"/>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提供5*8小时技术支持400热线,接到医院故障报修时起30分钟内提供电话技术支持，远程无法解决的问题，需在 48 小时内赶到现场进行处理。</w:t>
            </w:r>
          </w:p>
          <w:p w14:paraId="2BBC01A6">
            <w:pPr>
              <w:pStyle w:val="18"/>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3.故障解决：排除系统运行中的故障，使得系统可以得到平稳应用。这里的故障包括因编程问题使得软件未达到预期的功能效果或在软件运行期间出现的程序错误等，因系统本身错误产生的问题，免费修改；</w:t>
            </w:r>
          </w:p>
          <w:p w14:paraId="1F10D05E">
            <w:pPr>
              <w:pStyle w:val="18"/>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4.提供远程在线诊断和故障排除 ：对于电话咨询无法解决的问题，通过远程手段登录到用户网络系统进行的故障诊断和故障排除。</w:t>
            </w:r>
          </w:p>
          <w:p w14:paraId="2DF0CDB8">
            <w:pPr>
              <w:pStyle w:val="18"/>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5.根据医院实际需求进行数据备份，可按季度、按年度进行科研数据备份。</w:t>
            </w:r>
          </w:p>
          <w:p w14:paraId="34D73138">
            <w:pPr>
              <w:pStyle w:val="18"/>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6.售后服务时间：</w:t>
            </w:r>
          </w:p>
          <w:p w14:paraId="210BDA11">
            <w:pPr>
              <w:pStyle w:val="18"/>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(1).正常服务时间：即医院正常上班时间，目前规定如下，每周星期一至星期五上午8：30至下午18：00（除国家法定的节假日外）；</w:t>
            </w:r>
          </w:p>
          <w:p w14:paraId="75C80493">
            <w:pPr>
              <w:pStyle w:val="18"/>
              <w:keepNext w:val="0"/>
              <w:keepLines w:val="0"/>
              <w:pageBreakBefore w:val="0"/>
              <w:widowControl/>
              <w:numPr>
                <w:ilvl w:val="0"/>
                <w:numId w:val="0"/>
              </w:numPr>
              <w:tabs>
                <w:tab w:val="left" w:pos="0"/>
              </w:tabs>
              <w:kinsoku/>
              <w:wordWrap/>
              <w:overflowPunct/>
              <w:topLinePunct w:val="0"/>
              <w:autoSpaceDE/>
              <w:autoSpaceDN/>
              <w:bidi w:val="0"/>
              <w:adjustRightInd/>
              <w:snapToGrid/>
              <w:spacing w:after="0" w:line="280" w:lineRule="exact"/>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(2).在非工作时间设置有专人接听的移动电话热线，用于解决内部的技术问题，接听紧急突发情况汇报并进行紧急情况处理。</w:t>
            </w:r>
          </w:p>
        </w:tc>
      </w:tr>
    </w:tbl>
    <w:p w14:paraId="2456B2B9">
      <w:pPr>
        <w:rPr>
          <w:rFonts w:hint="eastAsia" w:ascii="仿宋_GB2312" w:hAnsi="仿宋_GB2312"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20F28"/>
    <w:multiLevelType w:val="singleLevel"/>
    <w:tmpl w:val="06520F28"/>
    <w:lvl w:ilvl="0" w:tentative="0">
      <w:start w:val="1"/>
      <w:numFmt w:val="decimal"/>
      <w:pStyle w:val="6"/>
      <w:lvlText w:val="%1."/>
      <w:lvlJc w:val="left"/>
      <w:pPr>
        <w:tabs>
          <w:tab w:val="left" w:pos="1200"/>
        </w:tabs>
        <w:ind w:left="12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D04"/>
    <w:rsid w:val="003027F5"/>
    <w:rsid w:val="00663F69"/>
    <w:rsid w:val="00783CAB"/>
    <w:rsid w:val="007F3D04"/>
    <w:rsid w:val="00CD1532"/>
    <w:rsid w:val="00F3008E"/>
    <w:rsid w:val="06B34F7C"/>
    <w:rsid w:val="07291B3C"/>
    <w:rsid w:val="0D187F42"/>
    <w:rsid w:val="187C5BAA"/>
    <w:rsid w:val="192D5062"/>
    <w:rsid w:val="1AAB5DE1"/>
    <w:rsid w:val="22D57694"/>
    <w:rsid w:val="248636AC"/>
    <w:rsid w:val="2AE13EFE"/>
    <w:rsid w:val="2C626A16"/>
    <w:rsid w:val="327F3C00"/>
    <w:rsid w:val="35B0425D"/>
    <w:rsid w:val="3B5C30E9"/>
    <w:rsid w:val="3E123760"/>
    <w:rsid w:val="410A4269"/>
    <w:rsid w:val="421C609F"/>
    <w:rsid w:val="48F12B14"/>
    <w:rsid w:val="4DD802BF"/>
    <w:rsid w:val="4E1C1427"/>
    <w:rsid w:val="4FB700C2"/>
    <w:rsid w:val="58457AA1"/>
    <w:rsid w:val="58F130E8"/>
    <w:rsid w:val="5A896623"/>
    <w:rsid w:val="5AC04A9D"/>
    <w:rsid w:val="64F775D6"/>
    <w:rsid w:val="66C92A6C"/>
    <w:rsid w:val="69EA5DD9"/>
    <w:rsid w:val="69F25F25"/>
    <w:rsid w:val="6B705AE9"/>
    <w:rsid w:val="6DE03A44"/>
    <w:rsid w:val="6F002FD3"/>
    <w:rsid w:val="6FDE3B35"/>
    <w:rsid w:val="74F00593"/>
    <w:rsid w:val="790A575E"/>
    <w:rsid w:val="7CAC5365"/>
    <w:rsid w:val="7EF1448E"/>
    <w:rsid w:val="7FE53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unhideWhenUsed/>
    <w:uiPriority w:val="99"/>
    <w:rPr>
      <w:rFonts w:ascii="宋体" w:hAnsi="Courier New"/>
      <w:szCs w:val="20"/>
    </w:rPr>
  </w:style>
  <w:style w:type="paragraph" w:styleId="5">
    <w:name w:val="Body Text"/>
    <w:basedOn w:val="1"/>
    <w:next w:val="6"/>
    <w:qFormat/>
    <w:uiPriority w:val="0"/>
    <w:pPr>
      <w:spacing w:after="120"/>
    </w:pPr>
  </w:style>
  <w:style w:type="paragraph" w:styleId="6">
    <w:name w:val="List Number 3"/>
    <w:basedOn w:val="1"/>
    <w:next w:val="1"/>
    <w:qFormat/>
    <w:uiPriority w:val="0"/>
    <w:pPr>
      <w:numPr>
        <w:ilvl w:val="0"/>
        <w:numId w:val="1"/>
      </w:numPr>
    </w:pPr>
  </w:style>
  <w:style w:type="paragraph" w:styleId="7">
    <w:name w:val="Body Text Indent"/>
    <w:basedOn w:val="1"/>
    <w:uiPriority w:val="0"/>
    <w:pPr>
      <w:spacing w:after="120"/>
      <w:ind w:left="420" w:leftChars="200"/>
    </w:pPr>
    <w:rPr>
      <w:sz w:val="21"/>
      <w:szCs w:val="24"/>
    </w:rPr>
  </w:style>
  <w:style w:type="paragraph" w:styleId="8">
    <w:name w:val="footer"/>
    <w:basedOn w:val="1"/>
    <w:link w:val="17"/>
    <w:qFormat/>
    <w:uiPriority w:val="0"/>
    <w:pPr>
      <w:tabs>
        <w:tab w:val="center" w:pos="4153"/>
        <w:tab w:val="right" w:pos="8306"/>
      </w:tabs>
      <w:snapToGrid w:val="0"/>
      <w:spacing w:line="240" w:lineRule="auto"/>
      <w:jc w:val="left"/>
    </w:pPr>
    <w:rPr>
      <w:sz w:val="18"/>
      <w:szCs w:val="18"/>
    </w:rPr>
  </w:style>
  <w:style w:type="paragraph" w:styleId="9">
    <w:name w:val="header"/>
    <w:basedOn w:val="1"/>
    <w:link w:val="16"/>
    <w:qFormat/>
    <w:uiPriority w:val="0"/>
    <w:pPr>
      <w:tabs>
        <w:tab w:val="center" w:pos="4153"/>
        <w:tab w:val="right" w:pos="8306"/>
      </w:tabs>
      <w:snapToGrid w:val="0"/>
      <w:spacing w:line="240" w:lineRule="auto"/>
      <w:jc w:val="center"/>
    </w:pPr>
    <w:rPr>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7"/>
    <w:qFormat/>
    <w:uiPriority w:val="0"/>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customStyle="1" w:styleId="16">
    <w:name w:val="页眉 字符"/>
    <w:basedOn w:val="14"/>
    <w:link w:val="9"/>
    <w:qFormat/>
    <w:uiPriority w:val="0"/>
    <w:rPr>
      <w:rFonts w:ascii="Calibri" w:hAnsi="Calibri"/>
      <w:kern w:val="2"/>
      <w:sz w:val="18"/>
      <w:szCs w:val="18"/>
    </w:rPr>
  </w:style>
  <w:style w:type="character" w:customStyle="1" w:styleId="17">
    <w:name w:val="页脚 字符"/>
    <w:basedOn w:val="14"/>
    <w:link w:val="8"/>
    <w:qFormat/>
    <w:uiPriority w:val="0"/>
    <w:rPr>
      <w:rFonts w:ascii="Calibri" w:hAnsi="Calibri"/>
      <w:kern w:val="2"/>
      <w:sz w:val="18"/>
      <w:szCs w:val="18"/>
    </w:rPr>
  </w:style>
  <w:style w:type="paragraph" w:customStyle="1" w:styleId="18">
    <w:name w:val="列出段落1"/>
    <w:basedOn w:val="1"/>
    <w:qFormat/>
    <w:uiPriority w:val="34"/>
    <w:pPr>
      <w:widowControl/>
      <w:ind w:firstLine="420" w:firstLineChars="200"/>
      <w:jc w:val="left"/>
    </w:pPr>
    <w:rPr>
      <w:rFonts w:ascii="宋体" w:hAnsi="宋体" w:cs="宋体"/>
      <w:kern w:val="0"/>
      <w:sz w:val="24"/>
      <w:szCs w:val="24"/>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9686</Words>
  <Characters>10052</Characters>
  <Lines>1</Lines>
  <Paragraphs>1</Paragraphs>
  <TotalTime>2</TotalTime>
  <ScaleCrop>false</ScaleCrop>
  <LinksUpToDate>false</LinksUpToDate>
  <CharactersWithSpaces>10180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2025-02-18T08:48:00Z</dcterms:created>
  <dc:creator>Administrator</dc:creator>
  <cp:lastModifiedBy>微信用户</cp:lastModifiedBy>
  <cp:lastPrinted>2025-06-22T06:29:00Z</cp:lastPrinted>
  <dcterms:modified xsi:type="dcterms:W3CDTF">2026-03-19T13:15:33Z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eyJoZGlkIjoiZTRiNjVhYTllYWUwMDIyODUxNzkzMTBjY2I5MDk3ZmUiLCJ1c2VySWQiOiIxMjczMDI1NTE1In0=</vt:lpwstr>
  </property>
  <property fmtid="{D5CDD505-2E9C-101B-9397-08002B2CF9AE}" pid="4" name="ICV">
    <vt:lpwstr>126FCD81B29146A393B0F47E6A18549C_13</vt:lpwstr>
  </property>
</Properties>
</file>