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5BBD8">
      <w:pPr>
        <w:spacing w:line="500" w:lineRule="exact"/>
        <w:ind w:firstLine="643" w:firstLineChars="200"/>
        <w:jc w:val="center"/>
        <w:rPr>
          <w:rFonts w:ascii="黑体" w:hAnsi="黑体" w:eastAsia="黑体" w:cs="黑体"/>
          <w:b/>
          <w:bCs/>
          <w:sz w:val="32"/>
          <w:szCs w:val="32"/>
        </w:rPr>
      </w:pPr>
    </w:p>
    <w:p w14:paraId="322F5614">
      <w:pPr>
        <w:spacing w:line="50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南宁市第二人民医院门户集约化平台</w:t>
      </w:r>
      <w:r>
        <w:rPr>
          <w:rFonts w:hint="eastAsia" w:ascii="方正小标宋简体" w:hAnsi="方正小标宋简体" w:eastAsia="方正小标宋简体" w:cs="方正小标宋简体"/>
          <w:b/>
          <w:bCs/>
          <w:sz w:val="44"/>
          <w:szCs w:val="44"/>
          <w:lang w:val="en-US" w:eastAsia="zh-CN"/>
        </w:rPr>
        <w:t>深化</w:t>
      </w:r>
      <w:r>
        <w:rPr>
          <w:rFonts w:hint="eastAsia" w:ascii="方正小标宋简体" w:hAnsi="方正小标宋简体" w:eastAsia="方正小标宋简体" w:cs="方正小标宋简体"/>
          <w:b/>
          <w:bCs/>
          <w:sz w:val="44"/>
          <w:szCs w:val="44"/>
        </w:rPr>
        <w:t>建设项目采购需求说明</w:t>
      </w:r>
    </w:p>
    <w:p w14:paraId="33B1134D">
      <w:pPr>
        <w:spacing w:line="500" w:lineRule="exact"/>
        <w:jc w:val="center"/>
        <w:rPr>
          <w:rFonts w:ascii="方正小标宋简体" w:hAnsi="方正小标宋简体" w:eastAsia="方正小标宋简体" w:cs="方正小标宋简体"/>
          <w:b/>
          <w:bCs/>
          <w:sz w:val="44"/>
          <w:szCs w:val="44"/>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243"/>
        <w:gridCol w:w="7068"/>
      </w:tblGrid>
      <w:tr w14:paraId="5232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6EB1B39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序号</w:t>
            </w:r>
          </w:p>
        </w:tc>
        <w:tc>
          <w:tcPr>
            <w:tcW w:w="1243" w:type="dxa"/>
            <w:shd w:val="clear" w:color="auto" w:fill="auto"/>
            <w:vAlign w:val="center"/>
          </w:tcPr>
          <w:p w14:paraId="3510F81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服务项</w:t>
            </w:r>
          </w:p>
        </w:tc>
        <w:tc>
          <w:tcPr>
            <w:tcW w:w="7068" w:type="dxa"/>
            <w:shd w:val="clear" w:color="auto" w:fill="auto"/>
            <w:vAlign w:val="center"/>
          </w:tcPr>
          <w:p w14:paraId="58F3F1E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具体要求</w:t>
            </w:r>
          </w:p>
        </w:tc>
      </w:tr>
      <w:tr w14:paraId="0D91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2FBD47E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w:t>
            </w:r>
          </w:p>
        </w:tc>
        <w:tc>
          <w:tcPr>
            <w:tcW w:w="1243" w:type="dxa"/>
            <w:shd w:val="clear" w:color="auto" w:fill="auto"/>
            <w:vAlign w:val="center"/>
          </w:tcPr>
          <w:p w14:paraId="59730C5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服务范围</w:t>
            </w:r>
          </w:p>
        </w:tc>
        <w:tc>
          <w:tcPr>
            <w:tcW w:w="7068" w:type="dxa"/>
            <w:shd w:val="clear" w:color="auto" w:fill="auto"/>
            <w:vAlign w:val="center"/>
          </w:tcPr>
          <w:p w14:paraId="14262ACA">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医院门户网站信息平台的全部模块功能维护服务响应</w:t>
            </w:r>
          </w:p>
        </w:tc>
      </w:tr>
      <w:tr w14:paraId="39FC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66C8A9E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w:t>
            </w:r>
          </w:p>
        </w:tc>
        <w:tc>
          <w:tcPr>
            <w:tcW w:w="1243" w:type="dxa"/>
            <w:shd w:val="clear" w:color="auto" w:fill="auto"/>
            <w:vAlign w:val="center"/>
          </w:tcPr>
          <w:p w14:paraId="69ED59F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服务期限</w:t>
            </w:r>
          </w:p>
        </w:tc>
        <w:tc>
          <w:tcPr>
            <w:tcW w:w="7068" w:type="dxa"/>
            <w:shd w:val="clear" w:color="auto" w:fill="auto"/>
            <w:vAlign w:val="center"/>
          </w:tcPr>
          <w:p w14:paraId="67A4AAB7">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自合同签订日期开始，为期</w:t>
            </w:r>
            <w:r>
              <w:rPr>
                <w:rFonts w:hint="eastAsia" w:ascii="仿宋" w:hAnsi="仿宋" w:eastAsia="仿宋" w:cs="仿宋"/>
                <w:sz w:val="22"/>
                <w:szCs w:val="22"/>
                <w:lang w:val="en-US" w:eastAsia="zh-CN"/>
              </w:rPr>
              <w:t>2年；</w:t>
            </w:r>
          </w:p>
          <w:p w14:paraId="0C4F5487">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7*24不间断服务。</w:t>
            </w:r>
          </w:p>
        </w:tc>
      </w:tr>
      <w:tr w14:paraId="6938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3F88C46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3</w:t>
            </w:r>
          </w:p>
        </w:tc>
        <w:tc>
          <w:tcPr>
            <w:tcW w:w="1243" w:type="dxa"/>
            <w:shd w:val="clear" w:color="auto" w:fill="auto"/>
            <w:vAlign w:val="center"/>
          </w:tcPr>
          <w:p w14:paraId="587D672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功能培训</w:t>
            </w:r>
          </w:p>
        </w:tc>
        <w:tc>
          <w:tcPr>
            <w:tcW w:w="7068" w:type="dxa"/>
            <w:shd w:val="clear" w:color="auto" w:fill="auto"/>
            <w:vAlign w:val="center"/>
          </w:tcPr>
          <w:p w14:paraId="65F4BC4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日常服务过程中维护工程师根据甲方各业务科室不同需求，对系统使用功能进行培训（信息科、宣传科室等）；</w:t>
            </w:r>
          </w:p>
          <w:p w14:paraId="4C971FCB">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根据各业务科室和信息科提出相应培训需求，组织公司培训资源进行管理及使用培训。</w:t>
            </w:r>
          </w:p>
        </w:tc>
      </w:tr>
      <w:tr w14:paraId="28C1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7637A7F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4</w:t>
            </w:r>
          </w:p>
        </w:tc>
        <w:tc>
          <w:tcPr>
            <w:tcW w:w="1243" w:type="dxa"/>
            <w:shd w:val="clear" w:color="auto" w:fill="auto"/>
            <w:vAlign w:val="center"/>
          </w:tcPr>
          <w:p w14:paraId="4375BA4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日常维护</w:t>
            </w:r>
          </w:p>
        </w:tc>
        <w:tc>
          <w:tcPr>
            <w:tcW w:w="7068" w:type="dxa"/>
            <w:shd w:val="clear" w:color="auto" w:fill="auto"/>
            <w:vAlign w:val="center"/>
          </w:tcPr>
          <w:p w14:paraId="70ADC1D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协助甲方建立日常维护记录，定期与甲方系统管理人员共同检查系统运行情况，并形成系统维护记录制度和系统管理规范；</w:t>
            </w:r>
          </w:p>
          <w:p w14:paraId="6B0C6F3A">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维护工程师负责配合甲方网站负责人进行正式服务器与测试服务器搭建及维护工作。</w:t>
            </w:r>
          </w:p>
        </w:tc>
      </w:tr>
      <w:tr w14:paraId="4305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76B1CF1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5</w:t>
            </w:r>
          </w:p>
        </w:tc>
        <w:tc>
          <w:tcPr>
            <w:tcW w:w="1243" w:type="dxa"/>
            <w:shd w:val="clear" w:color="auto" w:fill="auto"/>
            <w:vAlign w:val="center"/>
          </w:tcPr>
          <w:p w14:paraId="0912EE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知识产权</w:t>
            </w:r>
          </w:p>
        </w:tc>
        <w:tc>
          <w:tcPr>
            <w:tcW w:w="7068" w:type="dxa"/>
            <w:shd w:val="clear" w:color="auto" w:fill="auto"/>
            <w:vAlign w:val="center"/>
          </w:tcPr>
          <w:p w14:paraId="37525007">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报价人应承诺在完成需求服务内容时不会造成任何与第三方的知识产权纠纷。</w:t>
            </w:r>
          </w:p>
        </w:tc>
      </w:tr>
      <w:tr w14:paraId="384C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9004" w:type="dxa"/>
            <w:gridSpan w:val="3"/>
            <w:tcBorders/>
            <w:shd w:val="clear" w:color="auto" w:fill="auto"/>
            <w:vAlign w:val="center"/>
          </w:tcPr>
          <w:p w14:paraId="5E203FD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需求参数</w:t>
            </w:r>
          </w:p>
        </w:tc>
      </w:tr>
      <w:tr w14:paraId="6C4C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17859C8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7C26262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前端搭建</w:t>
            </w:r>
          </w:p>
        </w:tc>
        <w:tc>
          <w:tcPr>
            <w:tcW w:w="7068" w:type="dxa"/>
            <w:shd w:val="clear" w:color="auto" w:fill="auto"/>
            <w:vAlign w:val="center"/>
          </w:tcPr>
          <w:p w14:paraId="311573AB">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cs="仿宋"/>
                <w:sz w:val="22"/>
                <w:szCs w:val="22"/>
                <w:lang w:eastAsia="zh-CN"/>
              </w:rPr>
            </w:pPr>
            <w:r>
              <w:rPr>
                <w:rFonts w:hint="eastAsia" w:ascii="仿宋" w:hAnsi="仿宋" w:eastAsia="仿宋" w:cs="仿宋"/>
                <w:sz w:val="24"/>
                <w:szCs w:val="24"/>
                <w:lang w:val="en-US" w:eastAsia="zh-CN"/>
              </w:rPr>
              <w:t>★</w:t>
            </w:r>
            <w:r>
              <w:rPr>
                <w:rFonts w:hint="eastAsia" w:ascii="仿宋" w:hAnsi="仿宋" w:eastAsia="仿宋" w:cs="仿宋"/>
                <w:sz w:val="22"/>
                <w:szCs w:val="22"/>
              </w:rPr>
              <w:t>页面板块：总计优化</w:t>
            </w:r>
            <w:r>
              <w:rPr>
                <w:rFonts w:hint="eastAsia" w:ascii="仿宋" w:hAnsi="仿宋" w:cs="仿宋"/>
                <w:sz w:val="22"/>
                <w:szCs w:val="22"/>
                <w:lang w:val="en-US" w:eastAsia="zh-CN"/>
              </w:rPr>
              <w:t>搭建3</w:t>
            </w:r>
            <w:r>
              <w:rPr>
                <w:rFonts w:hint="eastAsia" w:ascii="仿宋" w:hAnsi="仿宋" w:eastAsia="仿宋" w:cs="仿宋"/>
                <w:sz w:val="22"/>
                <w:szCs w:val="22"/>
              </w:rPr>
              <w:t>个主站（所有主站提供3版设计稿供使用科室选择），</w:t>
            </w:r>
            <w:r>
              <w:rPr>
                <w:rFonts w:hint="eastAsia" w:ascii="仿宋" w:hAnsi="仿宋" w:cs="仿宋"/>
                <w:b/>
                <w:bCs/>
                <w:sz w:val="22"/>
                <w:szCs w:val="22"/>
                <w:lang w:val="en-US" w:eastAsia="zh-CN"/>
              </w:rPr>
              <w:t>7个</w:t>
            </w:r>
            <w:r>
              <w:rPr>
                <w:rFonts w:hint="eastAsia" w:ascii="仿宋" w:hAnsi="仿宋" w:eastAsia="仿宋" w:cs="仿宋"/>
                <w:b/>
                <w:bCs/>
                <w:sz w:val="22"/>
                <w:szCs w:val="22"/>
              </w:rPr>
              <w:t>诊疗中心子站</w:t>
            </w:r>
            <w:r>
              <w:rPr>
                <w:rFonts w:hint="eastAsia" w:ascii="仿宋" w:hAnsi="仿宋" w:cs="仿宋"/>
                <w:b/>
                <w:bCs/>
                <w:sz w:val="22"/>
                <w:szCs w:val="22"/>
                <w:lang w:eastAsia="zh-CN"/>
              </w:rPr>
              <w:t>，</w:t>
            </w:r>
            <w:r>
              <w:rPr>
                <w:rFonts w:hint="eastAsia" w:ascii="仿宋" w:hAnsi="仿宋" w:cs="仿宋"/>
                <w:b/>
                <w:bCs/>
                <w:sz w:val="22"/>
                <w:szCs w:val="22"/>
                <w:lang w:val="en-US" w:eastAsia="zh-CN"/>
              </w:rPr>
              <w:t>2个</w:t>
            </w:r>
            <w:r>
              <w:rPr>
                <w:rFonts w:hint="eastAsia" w:ascii="仿宋" w:hAnsi="仿宋" w:cs="仿宋"/>
                <w:b/>
                <w:bCs/>
                <w:sz w:val="22"/>
                <w:szCs w:val="22"/>
                <w:lang w:eastAsia="zh-CN"/>
              </w:rPr>
              <w:t>分院区网站集成</w:t>
            </w:r>
            <w:r>
              <w:rPr>
                <w:rFonts w:hint="eastAsia" w:ascii="仿宋" w:hAnsi="仿宋" w:eastAsia="仿宋" w:cs="仿宋"/>
                <w:sz w:val="22"/>
                <w:szCs w:val="22"/>
              </w:rPr>
              <w:t>。（注：所有页面的修改、调整、定稿都需要经过医院使用科室确认，且在项目实施阶段没有次数限制及其他要求，最终交付结果以使用科室确定定稿为准，竞标人必须配合及不得有其他收费要求）</w:t>
            </w:r>
          </w:p>
          <w:p w14:paraId="5A7E043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cs="仿宋"/>
                <w:sz w:val="22"/>
                <w:szCs w:val="22"/>
                <w:lang w:eastAsia="zh-CN"/>
              </w:rPr>
            </w:pPr>
            <w:r>
              <w:rPr>
                <w:rFonts w:hint="eastAsia" w:ascii="仿宋" w:hAnsi="仿宋" w:eastAsia="仿宋" w:cs="仿宋"/>
                <w:sz w:val="24"/>
                <w:szCs w:val="24"/>
                <w:lang w:val="en-US" w:eastAsia="zh-CN"/>
              </w:rPr>
              <w:t>▲</w:t>
            </w:r>
            <w:r>
              <w:rPr>
                <w:rFonts w:hint="eastAsia" w:ascii="仿宋" w:hAnsi="仿宋" w:eastAsia="仿宋" w:cs="仿宋"/>
                <w:sz w:val="22"/>
                <w:szCs w:val="22"/>
              </w:rPr>
              <w:t>以引导页（主站）访问，极简视觉布局，快速触达挂号、导航、咨询等关键服务，提升首屏体验，嵌入公众版（主站</w:t>
            </w:r>
            <w:r>
              <w:rPr>
                <w:rFonts w:hint="eastAsia" w:ascii="仿宋" w:hAnsi="仿宋" w:cs="仿宋"/>
                <w:sz w:val="22"/>
                <w:szCs w:val="22"/>
                <w:lang w:val="en-US" w:eastAsia="zh-CN"/>
              </w:rPr>
              <w:t>优化</w:t>
            </w:r>
            <w:r>
              <w:rPr>
                <w:rFonts w:hint="eastAsia" w:ascii="仿宋" w:hAnsi="仿宋" w:eastAsia="仿宋" w:cs="仿宋"/>
                <w:sz w:val="22"/>
                <w:szCs w:val="22"/>
              </w:rPr>
              <w:t>）、</w:t>
            </w:r>
            <w:r>
              <w:rPr>
                <w:rFonts w:hint="eastAsia" w:ascii="仿宋" w:hAnsi="仿宋" w:eastAsia="仿宋" w:cs="仿宋"/>
                <w:b/>
                <w:bCs/>
                <w:sz w:val="22"/>
                <w:szCs w:val="22"/>
              </w:rPr>
              <w:t>英文版（主站</w:t>
            </w:r>
            <w:r>
              <w:rPr>
                <w:rFonts w:hint="eastAsia" w:ascii="仿宋" w:hAnsi="仿宋" w:cs="仿宋"/>
                <w:b/>
                <w:bCs/>
                <w:sz w:val="22"/>
                <w:szCs w:val="22"/>
                <w:lang w:val="en-US" w:eastAsia="zh-CN"/>
              </w:rPr>
              <w:t>建设</w:t>
            </w:r>
            <w:r>
              <w:rPr>
                <w:rFonts w:hint="eastAsia" w:ascii="仿宋" w:hAnsi="仿宋" w:eastAsia="仿宋" w:cs="仿宋"/>
                <w:b/>
                <w:bCs/>
                <w:sz w:val="22"/>
                <w:szCs w:val="22"/>
              </w:rPr>
              <w:t>）</w:t>
            </w:r>
            <w:r>
              <w:rPr>
                <w:rFonts w:hint="eastAsia" w:ascii="仿宋" w:hAnsi="仿宋" w:cs="仿宋"/>
                <w:sz w:val="22"/>
                <w:szCs w:val="22"/>
                <w:lang w:eastAsia="zh-CN"/>
              </w:rPr>
              <w:t>、</w:t>
            </w:r>
            <w:r>
              <w:rPr>
                <w:rFonts w:hint="eastAsia" w:ascii="仿宋" w:hAnsi="仿宋" w:eastAsia="仿宋" w:cs="仿宋"/>
                <w:b/>
                <w:bCs/>
                <w:sz w:val="22"/>
                <w:szCs w:val="22"/>
              </w:rPr>
              <w:t>老年版</w:t>
            </w:r>
            <w:r>
              <w:rPr>
                <w:rFonts w:hint="eastAsia" w:ascii="仿宋" w:hAnsi="仿宋" w:cs="仿宋"/>
                <w:b/>
                <w:bCs/>
                <w:sz w:val="22"/>
                <w:szCs w:val="22"/>
                <w:lang w:eastAsia="zh-CN"/>
              </w:rPr>
              <w:t>（</w:t>
            </w:r>
            <w:r>
              <w:rPr>
                <w:rFonts w:hint="eastAsia" w:ascii="仿宋" w:hAnsi="仿宋" w:cs="仿宋"/>
                <w:b/>
                <w:bCs/>
                <w:sz w:val="22"/>
                <w:szCs w:val="22"/>
                <w:lang w:val="en-US" w:eastAsia="zh-CN"/>
              </w:rPr>
              <w:t>主站建设</w:t>
            </w:r>
            <w:r>
              <w:rPr>
                <w:rFonts w:hint="eastAsia" w:ascii="仿宋" w:hAnsi="仿宋" w:cs="仿宋"/>
                <w:b/>
                <w:bCs/>
                <w:sz w:val="22"/>
                <w:szCs w:val="22"/>
                <w:lang w:eastAsia="zh-CN"/>
              </w:rPr>
              <w:t>）</w:t>
            </w:r>
            <w:r>
              <w:rPr>
                <w:rFonts w:hint="eastAsia" w:ascii="仿宋" w:hAnsi="仿宋" w:cs="仿宋"/>
                <w:sz w:val="22"/>
                <w:szCs w:val="22"/>
                <w:lang w:eastAsia="zh-CN"/>
              </w:rPr>
              <w:t>、诊疗中心（子站</w:t>
            </w:r>
            <w:r>
              <w:rPr>
                <w:rFonts w:hint="eastAsia" w:ascii="仿宋" w:hAnsi="仿宋" w:cs="仿宋"/>
                <w:sz w:val="22"/>
                <w:szCs w:val="22"/>
                <w:lang w:val="en-US" w:eastAsia="zh-CN"/>
              </w:rPr>
              <w:t>建设</w:t>
            </w:r>
            <w:r>
              <w:rPr>
                <w:rFonts w:hint="eastAsia" w:ascii="仿宋" w:hAnsi="仿宋" w:cs="仿宋"/>
                <w:sz w:val="22"/>
                <w:szCs w:val="22"/>
                <w:lang w:eastAsia="zh-CN"/>
              </w:rPr>
              <w:t>）、分院区站点（</w:t>
            </w:r>
            <w:r>
              <w:rPr>
                <w:rFonts w:hint="eastAsia" w:ascii="仿宋" w:hAnsi="仿宋" w:cs="仿宋"/>
                <w:sz w:val="22"/>
                <w:szCs w:val="22"/>
                <w:lang w:val="en-US" w:eastAsia="zh-CN"/>
              </w:rPr>
              <w:t>子站建设</w:t>
            </w:r>
            <w:r>
              <w:rPr>
                <w:rFonts w:hint="eastAsia" w:ascii="仿宋" w:hAnsi="仿宋" w:cs="仿宋"/>
                <w:sz w:val="22"/>
                <w:szCs w:val="22"/>
                <w:lang w:eastAsia="zh-CN"/>
              </w:rPr>
              <w:t>）。</w:t>
            </w:r>
          </w:p>
          <w:p w14:paraId="33F173AC">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响应式的页面交互，满足电脑/手机/平板无缝切换，布局自适应调整，保障各类场景浏览体验完好。</w:t>
            </w:r>
          </w:p>
          <w:p w14:paraId="5D7DB4DC">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科室子站</w:t>
            </w:r>
            <w:r>
              <w:rPr>
                <w:rFonts w:hint="eastAsia" w:ascii="仿宋" w:hAnsi="仿宋" w:cs="仿宋"/>
                <w:sz w:val="22"/>
                <w:szCs w:val="22"/>
                <w:lang w:val="en-US" w:eastAsia="zh-CN"/>
              </w:rPr>
              <w:t>优化</w:t>
            </w:r>
            <w:r>
              <w:rPr>
                <w:rFonts w:hint="eastAsia" w:ascii="仿宋" w:hAnsi="仿宋" w:eastAsia="仿宋" w:cs="仿宋"/>
                <w:sz w:val="22"/>
                <w:szCs w:val="22"/>
              </w:rPr>
              <w:t>：</w:t>
            </w:r>
            <w:r>
              <w:rPr>
                <w:rFonts w:hint="eastAsia" w:ascii="仿宋" w:hAnsi="仿宋" w:cs="仿宋"/>
                <w:sz w:val="22"/>
                <w:szCs w:val="22"/>
                <w:lang w:val="en-US" w:eastAsia="zh-CN"/>
              </w:rPr>
              <w:t>一套科室子站</w:t>
            </w:r>
            <w:r>
              <w:rPr>
                <w:rFonts w:hint="eastAsia" w:ascii="仿宋" w:hAnsi="仿宋" w:eastAsia="仿宋" w:cs="仿宋"/>
                <w:sz w:val="22"/>
                <w:szCs w:val="22"/>
              </w:rPr>
              <w:t>设计，满足后期医院信息化建设的同时，又能满足科室的各项需求，定制专科化内容（如手术案例、科研成果），统一管理下全站信息同质化，凸显科室优势。专属科室展示阵地，整合专科特色、医生团队、诊疗项目，精准触达专科患者，打造专科品牌。（提供不低于现有三个院区</w:t>
            </w:r>
            <w:r>
              <w:rPr>
                <w:rFonts w:hint="eastAsia" w:ascii="仿宋" w:hAnsi="仿宋" w:cs="仿宋"/>
                <w:sz w:val="22"/>
                <w:szCs w:val="22"/>
                <w:lang w:val="en-US" w:eastAsia="zh-CN"/>
              </w:rPr>
              <w:t>90</w:t>
            </w:r>
            <w:r>
              <w:rPr>
                <w:rFonts w:hint="eastAsia" w:ascii="仿宋" w:hAnsi="仿宋" w:eastAsia="仿宋" w:cs="仿宋"/>
                <w:sz w:val="22"/>
                <w:szCs w:val="22"/>
              </w:rPr>
              <w:t>个科室子站的优化搭建，采用集群化管理模式，子站独立运营）</w:t>
            </w:r>
          </w:p>
          <w:p w14:paraId="6E2908D7">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党建专题网（</w:t>
            </w:r>
            <w:r>
              <w:rPr>
                <w:rFonts w:hint="eastAsia" w:ascii="仿宋" w:hAnsi="仿宋" w:cs="仿宋"/>
                <w:sz w:val="22"/>
                <w:szCs w:val="22"/>
                <w:lang w:val="en-US" w:eastAsia="zh-CN"/>
              </w:rPr>
              <w:t>子</w:t>
            </w:r>
            <w:r>
              <w:rPr>
                <w:rFonts w:hint="eastAsia" w:ascii="仿宋" w:hAnsi="仿宋" w:eastAsia="仿宋" w:cs="仿宋"/>
                <w:sz w:val="22"/>
                <w:szCs w:val="22"/>
              </w:rPr>
              <w:t>站</w:t>
            </w:r>
            <w:r>
              <w:rPr>
                <w:rFonts w:hint="eastAsia" w:ascii="仿宋" w:hAnsi="仿宋" w:cs="仿宋"/>
                <w:sz w:val="22"/>
                <w:szCs w:val="22"/>
                <w:lang w:val="en-US" w:eastAsia="zh-CN"/>
              </w:rPr>
              <w:t>建设</w:t>
            </w:r>
            <w:r>
              <w:rPr>
                <w:rFonts w:hint="eastAsia" w:ascii="仿宋" w:hAnsi="仿宋" w:eastAsia="仿宋" w:cs="仿宋"/>
                <w:sz w:val="22"/>
                <w:szCs w:val="22"/>
              </w:rPr>
              <w:t>）：严格遵循卫健系统党建规范，模块化布局，整合党建资讯、学习、活动等资讯与功能，合规可溯源</w:t>
            </w:r>
          </w:p>
          <w:p w14:paraId="6EB37EB9">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在FOXHMS系统内独立部署五象医院分站点，统一品牌形象与交互体验，同时保留分院特色，突出区域诊疗定位。增设“医疗集团”“特色专科”等模块，依托南宁市第二人民医院医疗集团资源，深化“大综合、强专科”发展格局，协同展示各院区联动优势。</w:t>
            </w:r>
          </w:p>
          <w:p w14:paraId="105086FD">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基于现有FOXHMS系统为基础展开进行页面搭建实施，需确保与现行开发技术高度兼容，竞标人应有在我院现有系统管理平台中进行建设的技术能力（提供承诺函）。</w:t>
            </w:r>
          </w:p>
        </w:tc>
      </w:tr>
      <w:tr w14:paraId="7C9B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01914B8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5DC942A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站点搭建</w:t>
            </w:r>
          </w:p>
        </w:tc>
        <w:tc>
          <w:tcPr>
            <w:tcW w:w="7068" w:type="dxa"/>
            <w:shd w:val="clear" w:color="auto" w:fill="auto"/>
            <w:vAlign w:val="center"/>
          </w:tcPr>
          <w:p w14:paraId="6432490E">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可实现站点的快速搭建、调整需求，能满足部门子站可视化编辑的需求，站点管理员可随时调整更改站点结构、内容和形式，管理完全通过浏览器完成。</w:t>
            </w:r>
          </w:p>
          <w:p w14:paraId="40ABB0BF">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支持多个站点信息共享，信息一次发布可多站点共用；各站点、PC端、移动端等多点多端信息同步更新。</w:t>
            </w:r>
          </w:p>
          <w:p w14:paraId="3AE6058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站点信息：支持在不同站点独立管理及维护基础信息。</w:t>
            </w:r>
          </w:p>
          <w:p w14:paraId="2A0648DA">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基础管理：系统实现主站与子站互联互通，实现多站点快速建站，实现子站的独立管理。系统主站可以设计2级、3级的子站点，站点的层级不受任何限制，并可以进行子站管理</w:t>
            </w:r>
          </w:p>
          <w:p w14:paraId="28370C5C">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独立配置：系统支持多个站点的管理，包括新增、删除、停止站点等操作。每个站点可以设置独立域名、存放路径、站点发布，支持站点间数据共享。多个站点可以独立管理，拥有自己的模板、频道、文档等。</w:t>
            </w:r>
          </w:p>
          <w:p w14:paraId="1904E93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数据共享：支持多个站点信息共享，信息一次发布可多站点共用；各站点、PC端、移动端等多点多端信息同步更新；每个站点可以设置对应的存放文件夹。</w:t>
            </w:r>
          </w:p>
          <w:p w14:paraId="1CD24DAF">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站点权限：系统可为每个站点指定不同的用户管理、维护、发布站点，满足用户多站点群多级管理的需要。</w:t>
            </w:r>
          </w:p>
          <w:p w14:paraId="68DEA5EB">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一键关停：系统提供一键关停功能，可对当前平台站点统一进行关停，当处于一键关停状态中，外界无法针对关停站点进行访问，并且可自定义对外提示内容，同时支持一键启用，对关停站点进行恢复。</w:t>
            </w:r>
          </w:p>
          <w:p w14:paraId="19DCF92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一键变灰：系统支持一键变灰功能。</w:t>
            </w:r>
          </w:p>
          <w:p w14:paraId="24532BE3">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SEO优化：支持“站点、栏目、内容”三个层级SEO优化，利于搜索引擎权重提升。支持自定义设置站点标题、关键词及描述信息，适配搜索引擎抓取规则。</w:t>
            </w:r>
          </w:p>
          <w:p w14:paraId="6B380C6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应有：科室管理、医生管理、栏目管理、专题管理、日志管理、安全管理等模块（不限于医院特殊要求）</w:t>
            </w:r>
          </w:p>
        </w:tc>
      </w:tr>
      <w:tr w14:paraId="01B7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5CF90FD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1C8EAF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发布管理</w:t>
            </w:r>
          </w:p>
        </w:tc>
        <w:tc>
          <w:tcPr>
            <w:tcW w:w="7068" w:type="dxa"/>
            <w:shd w:val="clear" w:color="auto" w:fill="auto"/>
            <w:vAlign w:val="center"/>
          </w:tcPr>
          <w:p w14:paraId="7D93933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支持 Office Word / WPS / PDF / EXCEL等文档原格式导入。可选择保留格式或清除格式，并自动提取关键词、摘要等。</w:t>
            </w:r>
          </w:p>
          <w:p w14:paraId="4D8DC607">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▲编辑</w:t>
            </w:r>
            <w:r>
              <w:rPr>
                <w:rFonts w:hint="eastAsia" w:ascii="仿宋" w:hAnsi="仿宋" w:eastAsia="仿宋" w:cs="仿宋"/>
                <w:sz w:val="22"/>
                <w:szCs w:val="22"/>
              </w:rPr>
              <w:t>器支持从外部复制内容，支持将word文档、外部网络的图片、文本内容与样式复制并粘贴到本编辑器中，资源自动转存至服务器，支持根据正文图片自动抓取文章封面图。（</w:t>
            </w:r>
            <w:r>
              <w:rPr>
                <w:rFonts w:hint="eastAsia" w:ascii="仿宋" w:hAnsi="仿宋" w:eastAsia="仿宋" w:cs="仿宋"/>
                <w:color w:val="auto"/>
                <w:sz w:val="22"/>
                <w:szCs w:val="22"/>
                <w:highlight w:val="none"/>
              </w:rPr>
              <w:t>不需要单独上传、直接粘贴即可，也不需要插件</w:t>
            </w:r>
            <w:r>
              <w:rPr>
                <w:rFonts w:hint="eastAsia" w:ascii="仿宋" w:hAnsi="仿宋" w:cs="仿宋"/>
                <w:color w:val="auto"/>
                <w:sz w:val="22"/>
                <w:szCs w:val="22"/>
                <w:highlight w:val="none"/>
                <w:lang w:eastAsia="zh-CN"/>
              </w:rPr>
              <w:t>，</w:t>
            </w:r>
            <w:r>
              <w:rPr>
                <w:rFonts w:hint="eastAsia" w:ascii="仿宋" w:hAnsi="仿宋" w:cs="仿宋"/>
                <w:color w:val="auto"/>
                <w:sz w:val="22"/>
                <w:szCs w:val="22"/>
                <w:highlight w:val="none"/>
                <w:lang w:val="en-US" w:eastAsia="zh-CN"/>
              </w:rPr>
              <w:t>竞标人应提供在线编辑器相关的软件著作权</w:t>
            </w:r>
            <w:r>
              <w:rPr>
                <w:rFonts w:hint="eastAsia" w:ascii="仿宋" w:hAnsi="仿宋" w:eastAsia="仿宋" w:cs="仿宋"/>
                <w:sz w:val="22"/>
                <w:szCs w:val="22"/>
              </w:rPr>
              <w:t>）</w:t>
            </w:r>
          </w:p>
          <w:p w14:paraId="28AFCAE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发布界面需内嵌135编辑器、xiumi编辑器。</w:t>
            </w:r>
          </w:p>
          <w:p w14:paraId="028F472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集成微信公众号等第三方数据采集接口，支持通过链接中抓取文章、图片等内容资源，直接导入至系统编辑器，实现内容的一键采集与原文转载，减少发布人员日常工作复杂重复性。</w:t>
            </w:r>
          </w:p>
          <w:p w14:paraId="6DDF6CE9">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内容发布前检测，站内投递经过平台检测和站点审核通过后才可进入投递箱。个人发布或修改后的稿件，将自动进行安全监测，并提交审核通过。</w:t>
            </w:r>
          </w:p>
          <w:p w14:paraId="6CAB5CF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定时发布：支持文章的定时发布功能，可以设定站点自动发布的时间。也可设置发布提醒，文章发送前会进行最终发布确认。</w:t>
            </w:r>
          </w:p>
          <w:p w14:paraId="292DE3A6">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定时归档：实现内容按计划精准上线与下架，避免人为延误或操作失误。</w:t>
            </w:r>
          </w:p>
          <w:p w14:paraId="1FB2DA4C">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发布预览：页面发布以前，支持提供站点、频道、文档页面的预览功能。对于各种复杂的文本、表格、图片、动画等内容进行所见即所得的可视化的编辑和修改，支持快速前台预览功能，并提供三种（电脑端、移动端，平板端）可切换的不同类型预览界面。</w:t>
            </w:r>
          </w:p>
          <w:p w14:paraId="5CAE99C3">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版本对照：系统提供版本管理功能，支持对文章内容进行版本记录，保留每次修改的历史版本，便于追溯与回滚。管理员可查看任意两个历史版本间的差异对比，精准定位修改内容，确保关键信息变更可追溯。</w:t>
            </w:r>
          </w:p>
          <w:p w14:paraId="0050D99F">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图片智能处理：图片可一键修改统一大小和位置。图片快捷上传，支持本地文件、在线图片和资源库多种来源上传。文中图片批量排序、调整尺寸等编辑。</w:t>
            </w:r>
          </w:p>
          <w:p w14:paraId="69FF34BA">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系统支持跨栏目内容推送能力，通过数据引用机制确保内容信息的唯一性与编辑修改的实时同步性。支持将内容同时推送至多个栏目，实现原文与推送内容的同步展示，同步修改，同步撤回，实现高效、统一的管理。</w:t>
            </w:r>
          </w:p>
          <w:p w14:paraId="41E7D415">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支持手动调整发布时间，灵活应对突发情况或重要节点。归档内容保留完整数据与操作轨迹，支持管理员后台浏览、恢复与数据导出，便于后续查阅与复用。</w:t>
            </w:r>
          </w:p>
          <w:p w14:paraId="30543208">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cs="仿宋"/>
                <w:sz w:val="22"/>
                <w:szCs w:val="22"/>
                <w:lang w:val="en-US" w:eastAsia="zh-CN"/>
              </w:rPr>
              <w:t>支持微信公众号数据推送</w:t>
            </w:r>
          </w:p>
        </w:tc>
      </w:tr>
      <w:tr w14:paraId="3F19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7644ABE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7E4E418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审核管理</w:t>
            </w:r>
          </w:p>
        </w:tc>
        <w:tc>
          <w:tcPr>
            <w:tcW w:w="7068" w:type="dxa"/>
            <w:shd w:val="clear" w:color="auto" w:fill="auto"/>
            <w:vAlign w:val="center"/>
          </w:tcPr>
          <w:p w14:paraId="6DA721B3">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审核管理：采用自上而下可视化的审核流建立流程，采用“钉钉式”树状图结构，在不同环节可添加审核节点、分支条件等。直观且便捷地完成审核流程的建立。</w:t>
            </w:r>
            <w:r>
              <w:rPr>
                <w:rFonts w:hint="eastAsia" w:ascii="仿宋" w:hAnsi="仿宋" w:cs="仿宋"/>
                <w:color w:val="auto"/>
                <w:sz w:val="22"/>
                <w:szCs w:val="22"/>
                <w:highlight w:val="none"/>
                <w:lang w:eastAsia="zh-CN"/>
              </w:rPr>
              <w:t>（</w:t>
            </w:r>
            <w:r>
              <w:rPr>
                <w:rFonts w:hint="eastAsia" w:ascii="仿宋" w:hAnsi="仿宋" w:cs="仿宋"/>
                <w:color w:val="auto"/>
                <w:sz w:val="22"/>
                <w:szCs w:val="22"/>
                <w:highlight w:val="none"/>
                <w:lang w:val="en-US" w:eastAsia="zh-CN"/>
              </w:rPr>
              <w:t>提供新闻三审三校管理相关的软件著作权</w:t>
            </w:r>
            <w:r>
              <w:rPr>
                <w:rFonts w:hint="eastAsia" w:ascii="仿宋" w:hAnsi="仿宋" w:cs="仿宋"/>
                <w:color w:val="auto"/>
                <w:sz w:val="22"/>
                <w:szCs w:val="22"/>
                <w:highlight w:val="none"/>
                <w:lang w:eastAsia="zh-CN"/>
              </w:rPr>
              <w:t>）</w:t>
            </w:r>
          </w:p>
          <w:p w14:paraId="387E4EBD">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系统具备分级审核管理功能。设计权限分离原则，各用户之间形成相互制约的关系，如审批流程要经过不同的层级权限的用户审批后才能完成。系统根据最小原则进行授权，并在各用户间形成相互制约关系。如录入与审核分离，操作与监督分离等。</w:t>
            </w:r>
          </w:p>
          <w:p w14:paraId="7805F8ED">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审核层级：支持分级审核，层层审核，可预设多级审核员，不同审核员拥有多栏目管理权限，支持审核推送，信息审核后可推送指定模块；</w:t>
            </w:r>
          </w:p>
          <w:p w14:paraId="17E903BA">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系统具有可视化审核流程配置功能，可以针对不同的栏目设置不同的审核体系，审核过程全程可视化，可以配置多级审核流程，可以对多个栏目快速设置相同的审核流程。可以查看被审核文章当前的审核状态及处理人、处理意见等相关信息。支持审核过程中的修改、审核完成后推送等操作，通过配置实现审核流延展，允许加签、限时审批、允许代交等操作。</w:t>
            </w:r>
          </w:p>
          <w:p w14:paraId="476446D5">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定义流程中各个环节的业务操作、操作人员并规划每个流程的管理和浏览权限；支持分级审核，下级管理员审核后再由上一级管理员审核；支持消息推送，最新待审核信息即时通知管理员，支持在移动端进行审核批阅；可按科室快速划分管理权限。</w:t>
            </w:r>
          </w:p>
          <w:p w14:paraId="26594413">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支持免签、会签和或签选择等多种审核模式，支持特定人员投稿、特定稿件等条件分流，根据设置启动不同的审核策略。</w:t>
            </w:r>
          </w:p>
        </w:tc>
      </w:tr>
      <w:tr w14:paraId="4986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552CE5D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21BAD26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数据分析</w:t>
            </w:r>
          </w:p>
        </w:tc>
        <w:tc>
          <w:tcPr>
            <w:tcW w:w="7068" w:type="dxa"/>
            <w:shd w:val="clear" w:color="auto" w:fill="auto"/>
            <w:vAlign w:val="center"/>
          </w:tcPr>
          <w:p w14:paraId="3526F3E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提供丰富的数据报告，精准记录分析运营情况</w:t>
            </w:r>
            <w:r>
              <w:rPr>
                <w:rFonts w:hint="eastAsia" w:ascii="仿宋" w:hAnsi="仿宋" w:cs="仿宋"/>
                <w:sz w:val="22"/>
                <w:szCs w:val="22"/>
                <w:lang w:eastAsia="zh-CN"/>
              </w:rPr>
              <w:t>。</w:t>
            </w:r>
            <w:r>
              <w:rPr>
                <w:rFonts w:hint="eastAsia" w:ascii="仿宋" w:hAnsi="仿宋" w:cs="仿宋"/>
                <w:color w:val="auto"/>
                <w:sz w:val="22"/>
                <w:szCs w:val="22"/>
                <w:highlight w:val="none"/>
                <w:lang w:eastAsia="zh-CN"/>
              </w:rPr>
              <w:t>（</w:t>
            </w:r>
            <w:r>
              <w:rPr>
                <w:rFonts w:hint="eastAsia" w:ascii="仿宋" w:hAnsi="仿宋" w:cs="仿宋"/>
                <w:color w:val="auto"/>
                <w:sz w:val="22"/>
                <w:szCs w:val="22"/>
                <w:highlight w:val="none"/>
                <w:lang w:val="en-US" w:eastAsia="zh-CN"/>
              </w:rPr>
              <w:t>提供大数据分析管理相关的软件著作权</w:t>
            </w:r>
            <w:r>
              <w:rPr>
                <w:rFonts w:hint="eastAsia" w:ascii="仿宋" w:hAnsi="仿宋" w:cs="仿宋"/>
                <w:color w:val="auto"/>
                <w:sz w:val="22"/>
                <w:szCs w:val="22"/>
                <w:highlight w:val="none"/>
                <w:lang w:eastAsia="zh-CN"/>
              </w:rPr>
              <w:t>）</w:t>
            </w:r>
          </w:p>
          <w:p w14:paraId="04A32A4D">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系统可提供包含站点访问量、站点栏目数量、站点/站群文章等站群管理数据，提供按站点、人员、栏目进行数据的统计，展现用户及用户组织的工作量，便于对信息发布人员及部门管理进行考核。</w:t>
            </w:r>
          </w:p>
          <w:p w14:paraId="3FC574DD">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站群统计：可记录不同类型的访问记录，能记录站群系统的所有站点访问记录，支持针对访问的相关数据统计，包括统计访问记录、页面浏览数、来访IP数、访问时间段、访问排名及来访省份统计。</w:t>
            </w:r>
          </w:p>
          <w:p w14:paraId="38BB73BF">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站点统计：提供站点访问统计功能，子站管理员可查看页面浏览数、来访IP数、时段访问数、栏目访问量，实现自定义对子站点的访问情况进行统计与排行。</w:t>
            </w:r>
          </w:p>
          <w:p w14:paraId="609FC566">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按统计量进行统计与分析。</w:t>
            </w:r>
          </w:p>
          <w:p w14:paraId="66DC60AB">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发稿量：统计用户发稿量，按用户名、手机号、姓名等搜索每个用户发稿量，也可按角色类型搜索每类角色发稿量</w:t>
            </w:r>
          </w:p>
          <w:p w14:paraId="5237646D">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投稿量：统计每个栏目收到的所有投稿量，包括来自科室的投稿量；通过选择栏目可查看单个栏目的投稿量，在科室投稿量通过选择科室查看单个科室接受投稿；</w:t>
            </w:r>
          </w:p>
          <w:p w14:paraId="5F452BA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医生访客量：按医生姓名、所属科室、职称、类型等字段，统计每个医生的受访数量，按受访人数高到低排序，可按科室筛选查看每个科室的所有医生受访数量以及排名；可按姓名搜索查看单个医生的受访数量、排名；可按职称或类型查看一类医生的受访、排名；</w:t>
            </w:r>
          </w:p>
          <w:p w14:paraId="47AAA219">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科室访客量：统计所有科室受访量，按受访人数高到低排序，按科室名称筛选查看单个科室受访量以及排名。</w:t>
            </w:r>
          </w:p>
          <w:p w14:paraId="60DFEFAE">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栏目访问量：提供内容统计功能，可以统计不同站点/栏目的文档数据；可以按照栏目的访问量排名。</w:t>
            </w:r>
          </w:p>
        </w:tc>
      </w:tr>
      <w:tr w14:paraId="069B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44401FB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18E28C6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智能检索</w:t>
            </w:r>
          </w:p>
        </w:tc>
        <w:tc>
          <w:tcPr>
            <w:tcW w:w="7068" w:type="dxa"/>
            <w:shd w:val="clear" w:color="auto" w:fill="auto"/>
            <w:vAlign w:val="center"/>
          </w:tcPr>
          <w:p w14:paraId="2C8EEB81">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前台智能检索功能，在常规检索基础上，利用AI智能检索技术，提升检索智能化水平，提供更精准理解用户搜索意图的结果呈现与内容推荐。</w:t>
            </w:r>
          </w:p>
          <w:p w14:paraId="30D3767C">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适配医院各类信息场景，多维度精准检索，支持关键词/分类筛选，快速定位内容，提升医患检索效率</w:t>
            </w:r>
          </w:p>
        </w:tc>
      </w:tr>
      <w:tr w14:paraId="1DBB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074D331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46F317E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内容安全</w:t>
            </w:r>
          </w:p>
        </w:tc>
        <w:tc>
          <w:tcPr>
            <w:tcW w:w="7068" w:type="dxa"/>
            <w:shd w:val="clear" w:color="auto" w:fill="auto"/>
            <w:vAlign w:val="center"/>
          </w:tcPr>
          <w:p w14:paraId="2B5BBD98">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cs="仿宋"/>
                <w:sz w:val="22"/>
                <w:szCs w:val="22"/>
                <w:lang w:val="en-US" w:eastAsia="zh-CN"/>
              </w:rPr>
              <w:t>对文章</w:t>
            </w:r>
            <w:r>
              <w:rPr>
                <w:rFonts w:hint="eastAsia" w:ascii="仿宋" w:hAnsi="仿宋" w:eastAsia="仿宋" w:cs="仿宋"/>
                <w:sz w:val="22"/>
                <w:szCs w:val="22"/>
              </w:rPr>
              <w:t>进行</w:t>
            </w:r>
            <w:r>
              <w:rPr>
                <w:rFonts w:hint="eastAsia" w:ascii="仿宋" w:hAnsi="仿宋" w:cs="仿宋"/>
                <w:sz w:val="22"/>
                <w:szCs w:val="22"/>
                <w:lang w:val="en-US" w:eastAsia="zh-CN"/>
              </w:rPr>
              <w:t>内容</w:t>
            </w:r>
            <w:r>
              <w:rPr>
                <w:rFonts w:hint="eastAsia" w:ascii="仿宋" w:hAnsi="仿宋" w:eastAsia="仿宋" w:cs="仿宋"/>
                <w:sz w:val="22"/>
                <w:szCs w:val="22"/>
              </w:rPr>
              <w:t>扫描，定位存在问题的段落与词语，审核人员人工复核。减少低级错误带来的工作量，让审核人员精力更集中在内容质量把控。</w:t>
            </w:r>
            <w:r>
              <w:rPr>
                <w:rFonts w:hint="eastAsia" w:ascii="仿宋" w:hAnsi="仿宋" w:cs="仿宋"/>
                <w:sz w:val="22"/>
                <w:szCs w:val="22"/>
                <w:lang w:eastAsia="zh-CN"/>
              </w:rPr>
              <w:t>（</w:t>
            </w:r>
            <w:r>
              <w:rPr>
                <w:rFonts w:hint="eastAsia" w:ascii="仿宋" w:hAnsi="仿宋" w:cs="仿宋"/>
                <w:sz w:val="22"/>
                <w:szCs w:val="22"/>
                <w:lang w:val="en-US" w:eastAsia="zh-CN"/>
              </w:rPr>
              <w:t>支持用户自己词库的创建</w:t>
            </w:r>
            <w:r>
              <w:rPr>
                <w:rFonts w:hint="eastAsia" w:ascii="仿宋" w:hAnsi="仿宋" w:cs="仿宋"/>
                <w:sz w:val="22"/>
                <w:szCs w:val="22"/>
                <w:lang w:eastAsia="zh-CN"/>
              </w:rPr>
              <w:t>）</w:t>
            </w:r>
          </w:p>
          <w:p w14:paraId="3EA95B7B">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内置网络大量敏感词样本库，并且支持自定义敏感词，在文章进行编写发布时按照词库智能深度检测分析，快速定位文章中的敏感词。</w:t>
            </w:r>
          </w:p>
        </w:tc>
      </w:tr>
      <w:tr w14:paraId="6FEB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4E8D2C3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2A70FC1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电子锦旗系统</w:t>
            </w:r>
          </w:p>
        </w:tc>
        <w:tc>
          <w:tcPr>
            <w:tcW w:w="7068" w:type="dxa"/>
            <w:shd w:val="clear" w:color="auto" w:fill="auto"/>
            <w:vAlign w:val="center"/>
          </w:tcPr>
          <w:p w14:paraId="5724700C">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线上便捷赠旗，智能留存展示，支持科室/医生精准赠旗，传递医患温情，打造医院暖心服务名片</w:t>
            </w:r>
            <w:r>
              <w:rPr>
                <w:rFonts w:hint="eastAsia" w:ascii="仿宋" w:hAnsi="仿宋" w:cs="仿宋"/>
                <w:sz w:val="22"/>
                <w:szCs w:val="22"/>
                <w:lang w:eastAsia="zh-CN"/>
              </w:rPr>
              <w:t>。</w:t>
            </w:r>
          </w:p>
          <w:p w14:paraId="51382E00">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患者简易赠旗入口，支持微信 / 官网一键进入，填写赠旗语、选择对应科室 / 医生，可上传就医感言、照片。支持匿名 / 实名赠旗，提交前预览内容，操作无门槛，适配手机 / 电脑多终端"</w:t>
            </w:r>
          </w:p>
        </w:tc>
      </w:tr>
      <w:tr w14:paraId="34AF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3BE589C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58B5B45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运维巡检</w:t>
            </w:r>
          </w:p>
        </w:tc>
        <w:tc>
          <w:tcPr>
            <w:tcW w:w="7068" w:type="dxa"/>
            <w:shd w:val="clear" w:color="auto" w:fill="auto"/>
            <w:vAlign w:val="center"/>
          </w:tcPr>
          <w:p w14:paraId="13AF9593">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常态化安全巡检与加固，支持定期（如每月/每季度）开展系统安全巡检，包括配置核查、漏洞扫描、基线比对；支持在重大活动（如“两会”、大型促销、重要发布）前实施专项安全加固，包括临时策略收紧、高危服务关停、日志增强等措施。</w:t>
            </w:r>
          </w:p>
          <w:p w14:paraId="60D1AACB">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应用层漏洞修复能力 支持对业务系统运行程序中的代码级漏洞（如SQL注入、XSS、命令执行、反序列化等）和逻辑型程序缺陷（Bug）进行定位、验证与修复，具备开发或协调开发团队完成补丁上线的能力。</w:t>
            </w:r>
          </w:p>
          <w:p w14:paraId="0EE6ECB2">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监管合规应急响应 在接到国家网络安全监管部门（如网信办、公安、通管局）下发的整改通知后，须在24小时内启动应急响应流程，并在规定时限内完成漏洞修复、风险处置及整改报告提交，确保合规闭环。</w:t>
            </w:r>
          </w:p>
        </w:tc>
      </w:tr>
      <w:tr w14:paraId="07C4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3" w:type="dxa"/>
            <w:shd w:val="clear" w:color="auto" w:fill="auto"/>
            <w:vAlign w:val="center"/>
          </w:tcPr>
          <w:p w14:paraId="63EEFEF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22"/>
                <w:szCs w:val="22"/>
              </w:rPr>
            </w:pPr>
          </w:p>
        </w:tc>
        <w:tc>
          <w:tcPr>
            <w:tcW w:w="1243" w:type="dxa"/>
            <w:shd w:val="clear" w:color="auto" w:fill="auto"/>
            <w:vAlign w:val="center"/>
          </w:tcPr>
          <w:p w14:paraId="71542A3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2"/>
                <w:szCs w:val="22"/>
              </w:rPr>
            </w:pPr>
            <w:r>
              <w:rPr>
                <w:rFonts w:hint="eastAsia" w:ascii="仿宋" w:hAnsi="仿宋" w:eastAsia="仿宋" w:cs="仿宋"/>
                <w:sz w:val="22"/>
                <w:szCs w:val="22"/>
              </w:rPr>
              <w:t>其他要求</w:t>
            </w:r>
          </w:p>
        </w:tc>
        <w:tc>
          <w:tcPr>
            <w:tcW w:w="7068" w:type="dxa"/>
            <w:shd w:val="clear" w:color="auto" w:fill="auto"/>
            <w:vAlign w:val="center"/>
          </w:tcPr>
          <w:p w14:paraId="6AE53ED4">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系统优化升级完成后，实现所有内容无缝适配FOXHMS系统，确保内容数量、内容字段值无丢失。图文排版根据新版内容展示页面尺寸进行自动适配，无版式错乱问题，确保数据的完整性和准确性，业务的连续性不受影响。</w:t>
            </w:r>
            <w:r>
              <w:rPr>
                <w:rFonts w:hint="eastAsia" w:ascii="仿宋" w:hAnsi="仿宋" w:cs="仿宋"/>
                <w:sz w:val="22"/>
                <w:szCs w:val="22"/>
                <w:lang w:eastAsia="zh-CN"/>
              </w:rPr>
              <w:t>（</w:t>
            </w:r>
            <w:r>
              <w:rPr>
                <w:rFonts w:hint="eastAsia" w:ascii="仿宋" w:hAnsi="仿宋" w:cs="仿宋"/>
                <w:sz w:val="22"/>
                <w:szCs w:val="22"/>
                <w:lang w:val="en-US" w:eastAsia="zh-CN"/>
              </w:rPr>
              <w:t>提供承诺函</w:t>
            </w:r>
            <w:r>
              <w:rPr>
                <w:rFonts w:hint="eastAsia" w:ascii="仿宋" w:hAnsi="仿宋" w:cs="仿宋"/>
                <w:sz w:val="22"/>
                <w:szCs w:val="22"/>
                <w:lang w:eastAsia="zh-CN"/>
              </w:rPr>
              <w:t>）</w:t>
            </w:r>
          </w:p>
          <w:p w14:paraId="3FF6125F">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配置增加2台云服务器：不低于4核8G 500G 10M配置。</w:t>
            </w:r>
          </w:p>
          <w:p w14:paraId="2531C6A6">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满足现阶段IPV6要求，支持双栈访问，保留IPV4访问的同时支持IPV6的访问路径</w:t>
            </w:r>
          </w:p>
          <w:p w14:paraId="78F070EE">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软件系统应支持通过医院要求的三级等保测评。</w:t>
            </w:r>
          </w:p>
          <w:p w14:paraId="182DEE7B">
            <w:pPr>
              <w:keepNext w:val="0"/>
              <w:keepLines w:val="0"/>
              <w:pageBreakBefore w:val="0"/>
              <w:widowControl w:val="0"/>
              <w:numPr>
                <w:ilvl w:val="0"/>
                <w:numId w:val="1"/>
              </w:numPr>
              <w:kinsoku/>
              <w:wordWrap/>
              <w:overflowPunct/>
              <w:topLinePunct w:val="0"/>
              <w:autoSpaceDE/>
              <w:autoSpaceDN/>
              <w:bidi w:val="0"/>
              <w:adjustRightInd/>
              <w:snapToGrid/>
              <w:ind w:left="0" w:leftChars="0" w:firstLine="0" w:firstLineChars="0"/>
              <w:textAlignment w:val="auto"/>
              <w:rPr>
                <w:rFonts w:hint="eastAsia" w:ascii="仿宋" w:hAnsi="仿宋" w:eastAsia="仿宋" w:cs="仿宋"/>
                <w:sz w:val="22"/>
                <w:szCs w:val="22"/>
              </w:rPr>
            </w:pPr>
            <w:r>
              <w:rPr>
                <w:rFonts w:hint="eastAsia" w:ascii="仿宋" w:hAnsi="仿宋" w:eastAsia="仿宋" w:cs="仿宋"/>
                <w:sz w:val="24"/>
                <w:szCs w:val="24"/>
                <w:lang w:val="en-US" w:eastAsia="zh-CN"/>
              </w:rPr>
              <w:t>▲</w:t>
            </w:r>
            <w:r>
              <w:rPr>
                <w:rFonts w:hint="eastAsia" w:ascii="仿宋" w:hAnsi="仿宋" w:eastAsia="仿宋" w:cs="仿宋"/>
                <w:sz w:val="22"/>
                <w:szCs w:val="22"/>
              </w:rPr>
              <w:t>备案工作协助处理，确保互联网信息的合法合规，涉及工信部ICP备案及公安网备案。</w:t>
            </w:r>
            <w:r>
              <w:rPr>
                <w:rFonts w:hint="eastAsia" w:ascii="仿宋" w:hAnsi="仿宋" w:cs="仿宋"/>
                <w:color w:val="auto"/>
                <w:sz w:val="22"/>
                <w:szCs w:val="22"/>
                <w:highlight w:val="none"/>
                <w:lang w:eastAsia="zh-CN"/>
              </w:rPr>
              <w:t>（</w:t>
            </w:r>
            <w:r>
              <w:rPr>
                <w:rFonts w:hint="eastAsia" w:ascii="仿宋" w:hAnsi="仿宋" w:cs="仿宋"/>
                <w:color w:val="auto"/>
                <w:sz w:val="22"/>
                <w:szCs w:val="22"/>
                <w:highlight w:val="none"/>
                <w:lang w:val="en-US" w:eastAsia="zh-CN"/>
              </w:rPr>
              <w:t>如有更换域名及服务器</w:t>
            </w:r>
            <w:r>
              <w:rPr>
                <w:rFonts w:hint="eastAsia" w:ascii="仿宋" w:hAnsi="仿宋" w:cs="仿宋"/>
                <w:color w:val="auto"/>
                <w:sz w:val="22"/>
                <w:szCs w:val="22"/>
                <w:highlight w:val="none"/>
                <w:lang w:eastAsia="zh-CN"/>
              </w:rPr>
              <w:t>）</w:t>
            </w:r>
          </w:p>
        </w:tc>
      </w:tr>
      <w:tr w14:paraId="3FE2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4" w:type="dxa"/>
            <w:gridSpan w:val="3"/>
            <w:shd w:val="clear" w:color="auto" w:fill="auto"/>
            <w:vAlign w:val="center"/>
          </w:tcPr>
          <w:p w14:paraId="28D76FA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2"/>
                <w:szCs w:val="22"/>
              </w:rPr>
            </w:pPr>
            <w:r>
              <w:rPr>
                <w:rFonts w:hint="eastAsia" w:ascii="仿宋" w:hAnsi="仿宋" w:eastAsia="仿宋" w:cs="仿宋"/>
                <w:sz w:val="22"/>
                <w:szCs w:val="22"/>
              </w:rPr>
              <w:t>备注：本次服务包含所有费用涉及现有系统对接、数据接口、人员沟通、第三方协助服务等全部费用，招标人不额外支付其他费用。</w:t>
            </w:r>
          </w:p>
        </w:tc>
      </w:tr>
    </w:tbl>
    <w:p w14:paraId="155A9680">
      <w:bookmarkStart w:id="0" w:name="_GoBack"/>
      <w:bookmarkEnd w:id="0"/>
    </w:p>
    <w:sectPr>
      <w:pgSz w:w="11906" w:h="16838"/>
      <w:pgMar w:top="1134" w:right="1531" w:bottom="113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89AAC4"/>
    <w:multiLevelType w:val="singleLevel"/>
    <w:tmpl w:val="1689AAC4"/>
    <w:lvl w:ilvl="0" w:tentative="0">
      <w:start w:val="1"/>
      <w:numFmt w:val="decimal"/>
      <w:suff w:val="nothing"/>
      <w:lvlText w:val="%1."/>
      <w:lvlJc w:val="left"/>
      <w:pPr>
        <w:ind w:left="0" w:leftChars="0" w:firstLine="0" w:firstLineChars="0"/>
      </w:pPr>
      <w:rPr>
        <w:rFonts w:hint="default"/>
      </w:rPr>
    </w:lvl>
  </w:abstractNum>
  <w:abstractNum w:abstractNumId="1">
    <w:nsid w:val="5D0E6ECB"/>
    <w:multiLevelType w:val="singleLevel"/>
    <w:tmpl w:val="5D0E6ECB"/>
    <w:lvl w:ilvl="0" w:tentative="0">
      <w:start w:val="1"/>
      <w:numFmt w:val="decimal"/>
      <w:suff w:val="nothing"/>
      <w:lvlText w:val="%1．"/>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CFC"/>
    <w:rsid w:val="003F30F5"/>
    <w:rsid w:val="0071163B"/>
    <w:rsid w:val="00F72CFC"/>
    <w:rsid w:val="078E3320"/>
    <w:rsid w:val="1ACA6E82"/>
    <w:rsid w:val="2F1A022F"/>
    <w:rsid w:val="3D993E1E"/>
    <w:rsid w:val="565B5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1752</Words>
  <Characters>1807</Characters>
  <Lines>13</Lines>
  <Paragraphs>3</Paragraphs>
  <TotalTime>5</TotalTime>
  <ScaleCrop>false</ScaleCrop>
  <LinksUpToDate>false</LinksUpToDate>
  <CharactersWithSpaces>1810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2026-06-29T11:02:00Z</dcterms:created>
  <dc:creator>Administrator</dc:creator>
  <cp:lastModifiedBy>C</cp:lastModifiedBy>
  <dcterms:modified xsi:type="dcterms:W3CDTF">2026-09-09T14:24:51Z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eyJoZGlkIjoiMGY5NjA5MjI4Y2JhMDkwNGVmZGNlODJhMWYxYzg0NzgiLCJ1c2VySWQiOiI5NzYzOTc4NDMifQ==</vt:lpwstr>
  </property>
  <property fmtid="{D5CDD505-2E9C-101B-9397-08002B2CF9AE}" pid="4" name="ICV">
    <vt:lpwstr>D7B1DD087A0B484291A24AAE03EC70B3_13</vt:lpwstr>
  </property>
</Properties>
</file>