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9825"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7897"/>
      </w:tblGrid>
      <w:tr w14:paraId="45A7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1928" w:type="dxa"/>
            <w:vAlign w:val="center"/>
          </w:tcPr>
          <w:p w14:paraId="6F0B30A3">
            <w:pPr>
              <w:pStyle w:val="4"/>
              <w:widowControl/>
              <w:shd w:val="clear" w:color="auto" w:fill="FFFFFF"/>
              <w:spacing w:before="0" w:beforeAutospacing="0" w:after="0" w:afterAutospacing="0" w:line="360" w:lineRule="auto"/>
              <w:jc w:val="center"/>
              <w:rPr>
                <w:rFonts w:hint="eastAsia" w:ascii="宋体" w:hAnsi="宋体" w:eastAsia="宋体" w:cs="宋体"/>
                <w:b w:val="0"/>
                <w:bCs/>
                <w:sz w:val="21"/>
                <w:szCs w:val="21"/>
                <w:shd w:val="clear" w:color="auto" w:fill="FFFFFF"/>
                <w:lang w:val="en-US" w:eastAsia="zh-CN"/>
              </w:rPr>
            </w:pPr>
            <w:r>
              <w:rPr>
                <w:rFonts w:hint="eastAsia" w:ascii="宋体" w:hAnsi="宋体" w:eastAsia="宋体" w:cs="宋体"/>
                <w:b w:val="0"/>
                <w:bCs/>
                <w:sz w:val="21"/>
                <w:szCs w:val="21"/>
                <w:shd w:val="clear" w:color="auto" w:fill="FFFFFF"/>
                <w:lang w:val="en-US" w:eastAsia="zh-CN"/>
              </w:rPr>
              <w:t>建设内容</w:t>
            </w:r>
          </w:p>
          <w:p w14:paraId="140C4075">
            <w:pPr>
              <w:pStyle w:val="4"/>
              <w:widowControl/>
              <w:shd w:val="clear" w:color="auto" w:fill="FFFFFF"/>
              <w:spacing w:before="0" w:beforeAutospacing="0" w:after="0" w:afterAutospacing="0" w:line="360" w:lineRule="auto"/>
              <w:jc w:val="center"/>
              <w:rPr>
                <w:rFonts w:hint="eastAsia" w:ascii="宋体" w:hAnsi="宋体" w:eastAsia="宋体" w:cs="宋体"/>
                <w:b w:val="0"/>
                <w:bCs/>
                <w:sz w:val="21"/>
                <w:szCs w:val="21"/>
                <w:shd w:val="clear" w:color="auto" w:fill="FFFFFF"/>
                <w:lang w:val="en-US" w:eastAsia="zh-CN"/>
              </w:rPr>
            </w:pPr>
            <w:r>
              <w:rPr>
                <w:rFonts w:hint="eastAsia" w:ascii="宋体" w:hAnsi="宋体" w:eastAsia="宋体" w:cs="宋体"/>
                <w:b w:val="0"/>
                <w:bCs/>
                <w:sz w:val="21"/>
                <w:szCs w:val="21"/>
                <w:shd w:val="clear" w:color="auto" w:fill="FFFFFF"/>
                <w:lang w:val="en-US" w:eastAsia="zh-CN"/>
              </w:rPr>
              <w:t>及功能</w:t>
            </w:r>
            <w:r>
              <w:rPr>
                <w:rFonts w:hint="eastAsia" w:ascii="宋体" w:hAnsi="宋体" w:eastAsia="宋体" w:cs="宋体"/>
                <w:b w:val="0"/>
                <w:bCs/>
                <w:sz w:val="21"/>
                <w:szCs w:val="21"/>
                <w:shd w:val="clear" w:color="auto" w:fill="FFFFFF"/>
              </w:rPr>
              <w:t>技术</w:t>
            </w:r>
            <w:r>
              <w:rPr>
                <w:rFonts w:hint="eastAsia" w:ascii="宋体" w:hAnsi="宋体" w:eastAsia="宋体" w:cs="宋体"/>
                <w:b w:val="0"/>
                <w:bCs/>
                <w:sz w:val="21"/>
                <w:szCs w:val="21"/>
                <w:shd w:val="clear" w:color="auto" w:fill="FFFFFF"/>
                <w:lang w:val="en-US" w:eastAsia="zh-CN"/>
              </w:rPr>
              <w:t>要求</w:t>
            </w:r>
          </w:p>
        </w:tc>
        <w:tc>
          <w:tcPr>
            <w:tcW w:w="7897" w:type="dxa"/>
          </w:tcPr>
          <w:p w14:paraId="2BC995E9">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医院信息集成平台系统</w:t>
            </w:r>
            <w:r>
              <w:rPr>
                <w:rFonts w:hint="eastAsia" w:ascii="仿宋" w:hAnsi="仿宋" w:eastAsia="仿宋" w:cs="仿宋"/>
                <w:sz w:val="24"/>
                <w:szCs w:val="24"/>
                <w:lang w:val="en-US" w:eastAsia="zh-CN"/>
              </w:rPr>
              <w:t>维保系统功能清单</w:t>
            </w:r>
          </w:p>
          <w:p w14:paraId="7EF85EF7">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）Ensemble集成引擎（Health Connect）</w:t>
            </w:r>
          </w:p>
          <w:p w14:paraId="22F35034">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）适配器</w:t>
            </w:r>
          </w:p>
          <w:p w14:paraId="527A3E84">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）智能路由</w:t>
            </w:r>
          </w:p>
          <w:p w14:paraId="70BA292B">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）信息转换</w:t>
            </w:r>
          </w:p>
          <w:p w14:paraId="37CFD365">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val="zh-CN" w:eastAsia="zh-CN"/>
              </w:rPr>
              <w:t>）业务协同</w:t>
            </w:r>
          </w:p>
          <w:p w14:paraId="26986B94">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lang w:val="zh-CN" w:eastAsia="zh-CN"/>
              </w:rPr>
              <w:t>）消息持久化</w:t>
            </w:r>
          </w:p>
          <w:p w14:paraId="0D88A3ED">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6</w:t>
            </w:r>
            <w:r>
              <w:rPr>
                <w:rFonts w:hint="eastAsia" w:ascii="仿宋" w:hAnsi="仿宋" w:eastAsia="仿宋" w:cs="仿宋"/>
                <w:sz w:val="24"/>
                <w:szCs w:val="24"/>
                <w:lang w:val="zh-CN" w:eastAsia="zh-CN"/>
              </w:rPr>
              <w:t>）运维监控</w:t>
            </w:r>
          </w:p>
          <w:p w14:paraId="59F044BA">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）医院信息集成平台系统</w:t>
            </w:r>
          </w:p>
          <w:p w14:paraId="51BAAE2A">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）主数据管理（MDM）</w:t>
            </w:r>
          </w:p>
          <w:p w14:paraId="69DADF7E">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）患者主索引管理（EMPI）</w:t>
            </w:r>
          </w:p>
          <w:p w14:paraId="11E2026A">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）统一用户管理（单点登录）</w:t>
            </w:r>
          </w:p>
          <w:p w14:paraId="70C77CFE">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val="zh-CN" w:eastAsia="zh-CN"/>
              </w:rPr>
              <w:t>）系统维护</w:t>
            </w:r>
          </w:p>
          <w:p w14:paraId="621EC3FA">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lang w:val="zh-CN" w:eastAsia="zh-CN"/>
              </w:rPr>
              <w:t>）互联互通工具</w:t>
            </w:r>
          </w:p>
          <w:p w14:paraId="524B1D36">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）集成服务</w:t>
            </w:r>
          </w:p>
          <w:p w14:paraId="6D07CDEC">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）Ensemble集成引擎安装部署</w:t>
            </w:r>
          </w:p>
          <w:p w14:paraId="53D16D4B">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）主数据梳理服务</w:t>
            </w:r>
          </w:p>
          <w:p w14:paraId="25AD1189">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）院内流程标准化梳理服务</w:t>
            </w:r>
          </w:p>
          <w:p w14:paraId="6C935A15">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val="zh-CN" w:eastAsia="zh-CN"/>
              </w:rPr>
              <w:t>）EMPI历史数据导入分析服务</w:t>
            </w:r>
          </w:p>
          <w:p w14:paraId="35B1CD35">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lang w:val="zh-CN" w:eastAsia="zh-CN"/>
              </w:rPr>
              <w:t>）各信息系统适配服务</w:t>
            </w:r>
          </w:p>
          <w:p w14:paraId="068FDA9D">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医院数据中心平台系统</w:t>
            </w:r>
            <w:r>
              <w:rPr>
                <w:rFonts w:hint="eastAsia" w:ascii="仿宋" w:hAnsi="仿宋" w:eastAsia="仿宋" w:cs="仿宋"/>
                <w:sz w:val="24"/>
                <w:szCs w:val="24"/>
                <w:lang w:val="en-US" w:eastAsia="zh-CN"/>
              </w:rPr>
              <w:t>维保系统功能清单</w:t>
            </w:r>
          </w:p>
          <w:p w14:paraId="6E6089D2">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）数据集成服务</w:t>
            </w:r>
          </w:p>
          <w:p w14:paraId="11244315">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）Hadoop大数据平台部署</w:t>
            </w:r>
          </w:p>
          <w:p w14:paraId="72519AA2">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）历史数据采集服务</w:t>
            </w:r>
          </w:p>
          <w:p w14:paraId="4335C855">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）实时数据接入服务</w:t>
            </w:r>
          </w:p>
          <w:p w14:paraId="4C7AADFC">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val="zh-CN" w:eastAsia="zh-CN"/>
              </w:rPr>
              <w:t>）数据集中存储服务</w:t>
            </w:r>
          </w:p>
          <w:p w14:paraId="6E044EA3">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lang w:val="zh-CN" w:eastAsia="zh-CN"/>
              </w:rPr>
              <w:t>）实时对外服务</w:t>
            </w:r>
          </w:p>
          <w:p w14:paraId="0156BBB3">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）医院数据中心管理配置系统</w:t>
            </w:r>
          </w:p>
          <w:p w14:paraId="7C513EFA">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）首页概览</w:t>
            </w:r>
          </w:p>
          <w:p w14:paraId="2F9CF196">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）平台监控</w:t>
            </w:r>
          </w:p>
          <w:p w14:paraId="780D19BF">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）数据标准</w:t>
            </w:r>
          </w:p>
          <w:p w14:paraId="2362A1BA">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val="zh-CN" w:eastAsia="zh-CN"/>
              </w:rPr>
              <w:t>）数据管理</w:t>
            </w:r>
          </w:p>
          <w:p w14:paraId="0828CACB">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lang w:val="zh-CN" w:eastAsia="zh-CN"/>
              </w:rPr>
              <w:t>）系统管理</w:t>
            </w:r>
          </w:p>
          <w:p w14:paraId="0E083C94">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）患者统一视图系统</w:t>
            </w:r>
          </w:p>
          <w:p w14:paraId="06D4B08D">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）患者匹配</w:t>
            </w:r>
          </w:p>
          <w:p w14:paraId="436DF89D">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）就诊视图</w:t>
            </w:r>
          </w:p>
          <w:p w14:paraId="582091C8">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）分类视图</w:t>
            </w:r>
          </w:p>
          <w:p w14:paraId="194D3E47">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val="zh-CN" w:eastAsia="zh-CN"/>
              </w:rPr>
              <w:t>）医院运营分析系统</w:t>
            </w:r>
          </w:p>
          <w:p w14:paraId="3F2635F4">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）临床业务</w:t>
            </w:r>
          </w:p>
          <w:p w14:paraId="7BD26B29">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）医疗质量</w:t>
            </w:r>
          </w:p>
          <w:p w14:paraId="48CD85D3">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）效率分析</w:t>
            </w:r>
          </w:p>
          <w:p w14:paraId="3AEF41FB">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val="zh-CN" w:eastAsia="zh-CN"/>
              </w:rPr>
              <w:t>）安全分析</w:t>
            </w:r>
          </w:p>
          <w:p w14:paraId="246BD11A">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lang w:val="zh-CN" w:eastAsia="zh-CN"/>
              </w:rPr>
              <w:t>）患者负担</w:t>
            </w:r>
          </w:p>
          <w:p w14:paraId="3880D285">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6</w:t>
            </w:r>
            <w:r>
              <w:rPr>
                <w:rFonts w:hint="eastAsia" w:ascii="仿宋" w:hAnsi="仿宋" w:eastAsia="仿宋" w:cs="仿宋"/>
                <w:sz w:val="24"/>
                <w:szCs w:val="24"/>
                <w:lang w:val="zh-CN" w:eastAsia="zh-CN"/>
              </w:rPr>
              <w:t>）收入分析</w:t>
            </w:r>
          </w:p>
          <w:p w14:paraId="3DEDE15E">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7</w:t>
            </w:r>
            <w:r>
              <w:rPr>
                <w:rFonts w:hint="eastAsia" w:ascii="仿宋" w:hAnsi="仿宋" w:eastAsia="仿宋" w:cs="仿宋"/>
                <w:sz w:val="24"/>
                <w:szCs w:val="24"/>
                <w:lang w:val="zh-CN" w:eastAsia="zh-CN"/>
              </w:rPr>
              <w:t>）手术分析</w:t>
            </w:r>
          </w:p>
          <w:p w14:paraId="691F73E3">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8</w:t>
            </w:r>
            <w:r>
              <w:rPr>
                <w:rFonts w:hint="eastAsia" w:ascii="仿宋" w:hAnsi="仿宋" w:eastAsia="仿宋" w:cs="仿宋"/>
                <w:sz w:val="24"/>
                <w:szCs w:val="24"/>
                <w:lang w:val="zh-CN" w:eastAsia="zh-CN"/>
              </w:rPr>
              <w:t>）资源分析</w:t>
            </w:r>
          </w:p>
          <w:p w14:paraId="31252D1F">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维护</w:t>
            </w:r>
            <w:r>
              <w:rPr>
                <w:rFonts w:hint="eastAsia" w:ascii="仿宋" w:hAnsi="仿宋" w:eastAsia="仿宋" w:cs="仿宋"/>
                <w:sz w:val="24"/>
                <w:szCs w:val="24"/>
                <w:lang w:val="zh-CN" w:eastAsia="zh-CN"/>
              </w:rPr>
              <w:t>内容</w:t>
            </w:r>
          </w:p>
          <w:p w14:paraId="74050F79">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）应用维护服务</w:t>
            </w:r>
          </w:p>
          <w:p w14:paraId="5B3BC61D">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）应用维护服务：提供系统功能的应用咨询，包括应用使用、权限管理、应用设置等；</w:t>
            </w:r>
          </w:p>
          <w:p w14:paraId="77A6E326">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）故障修复：协助查找、修复甲方在系统应用过程中出现功能错误及功能模块的运行故障，保证系统功能正常运行。</w:t>
            </w:r>
          </w:p>
          <w:p w14:paraId="66E4F9A9">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需求变更：提供系统模块范围内的功能合理需求的调整、修改，因采购人需求改变引起的现有系统功能范围内的调整与修改完善（不包括涉及系统整体结构及模块结构改变的需求），并提供详细的文档说明和相关资料。乙方有权利拒绝甲方提出的不合理或超出系统功能范围的需求变更，并向甲方说明详情。</w:t>
            </w:r>
          </w:p>
          <w:p w14:paraId="2057B05C">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val="zh-CN" w:eastAsia="zh-CN"/>
              </w:rPr>
              <w:t>）日常维护：协助甲方建立日常维护记录，</w:t>
            </w:r>
            <w:r>
              <w:rPr>
                <w:rFonts w:hint="eastAsia" w:ascii="仿宋" w:hAnsi="仿宋" w:eastAsia="仿宋" w:cs="仿宋"/>
                <w:sz w:val="24"/>
                <w:szCs w:val="24"/>
                <w:lang w:val="en-US" w:eastAsia="zh-CN"/>
              </w:rPr>
              <w:t>与</w:t>
            </w:r>
            <w:r>
              <w:rPr>
                <w:rFonts w:hint="eastAsia" w:ascii="仿宋" w:hAnsi="仿宋" w:eastAsia="仿宋" w:cs="仿宋"/>
                <w:sz w:val="24"/>
                <w:szCs w:val="24"/>
                <w:lang w:val="zh-CN" w:eastAsia="zh-CN"/>
              </w:rPr>
              <w:t>甲方系统管理人员共同检查系统运行情况，并形成系统维护记录制度，</w:t>
            </w:r>
            <w:r>
              <w:rPr>
                <w:rFonts w:hint="eastAsia" w:ascii="仿宋" w:hAnsi="仿宋" w:eastAsia="仿宋" w:cs="仿宋"/>
                <w:sz w:val="24"/>
                <w:szCs w:val="24"/>
                <w:lang w:val="en-US" w:eastAsia="zh-CN"/>
              </w:rPr>
              <w:t>与</w:t>
            </w:r>
            <w:r>
              <w:rPr>
                <w:rFonts w:hint="eastAsia" w:ascii="仿宋" w:hAnsi="仿宋" w:eastAsia="仿宋" w:cs="仿宋"/>
                <w:sz w:val="24"/>
                <w:szCs w:val="24"/>
                <w:lang w:val="zh-CN" w:eastAsia="zh-CN"/>
              </w:rPr>
              <w:t>甲方中心技术人员讨论甲方信息系统运行中存在的问题以及解决方法。</w:t>
            </w:r>
          </w:p>
          <w:p w14:paraId="39209552">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）技术支持服务</w:t>
            </w:r>
          </w:p>
          <w:p w14:paraId="23122C7C">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）数据恢复：因甲方操作不当或硬件、网络原因导致数据丢失，乙方承诺协助甲方系统维护人员恢复数据。</w:t>
            </w:r>
          </w:p>
          <w:p w14:paraId="6EC52A35">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）数据调整：因甲方操作不当或硬件、网络原因造成数据出现部分或全部不准确，乙方承诺协助甲方系统维护人员进行数据调整。</w:t>
            </w:r>
          </w:p>
          <w:p w14:paraId="6E94C0BA">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）接口恢复：因甲方操作不当或硬件、网络原因导致业务接口出现问题，乙方承诺协助甲方系统维护人员恢复业务接口服务。</w:t>
            </w:r>
          </w:p>
          <w:p w14:paraId="272B8C39">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val="zh-CN" w:eastAsia="zh-CN"/>
              </w:rPr>
              <w:t>）接口维护：提供现有集成平台接口的日常维护工作（不包括接口流程调整、修改以及新增接口。如有上述情况，甲乙双方需要协商签订补充合同，并且甲方需协调第三方厂商配合，乙方按补充合同完成相应工作）。</w:t>
            </w:r>
          </w:p>
          <w:p w14:paraId="4CE94298">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lang w:val="zh-CN" w:eastAsia="zh-CN"/>
              </w:rPr>
              <w:t>）特殊服务：提供灾难解决办法，系统灾难发生时，承诺立即响应，必要时人员以最快速度到达现场，以减少数据损失，降低灾难对整个系统正常运行的影响。</w:t>
            </w:r>
          </w:p>
          <w:p w14:paraId="4DC6A323">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）其他服务</w:t>
            </w:r>
          </w:p>
          <w:p w14:paraId="2823CD53">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eastAsia="zh-CN"/>
              </w:rPr>
              <w:t>）管理培训：提供系统管理培训服务，根据采购人需求，可对甲方的高级管理人员或全权负责人，以及各岗位计算机管理或系统维护管理人员进行岗前的技术培训。了解软件系统内包含的管理思想、管理流程。（注：培训地点由甲方乙方商定）。</w:t>
            </w:r>
          </w:p>
          <w:p w14:paraId="6FD03F9E">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eastAsia="zh-CN"/>
              </w:rPr>
              <w:t>）维护培训：提供系统维护培训服务，包括采购人人员离职、岗位调动、系统维护人员上岗前的培训。（注：培训地点由双方商定）。</w:t>
            </w:r>
          </w:p>
          <w:p w14:paraId="489257D7">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eastAsia="zh-CN"/>
              </w:rPr>
              <w:t>）巡检服务:提供网络远程形式巡检服务，检查上线系统整体情况，其中包括服务器状况、系统服务运行状况和相关系统配置等事项，巡检结束后给甲方提供巡检报告；提供客户现场形式巡检服务，与采购人维护人员沟通，解答并处理相关问题，提供问题的解决办法，巡检结束后给采购人提供巡检报告。</w:t>
            </w:r>
          </w:p>
          <w:p w14:paraId="467C57FA">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val="zh-CN" w:eastAsia="zh-CN"/>
              </w:rPr>
              <w:t>）热线服务:提供维护热线，并为采购人建立维护档案，给予及时的系统支持；帮助采购人建立日常维护记录制度和系统管理规范。</w:t>
            </w:r>
          </w:p>
          <w:p w14:paraId="0B27F6E0">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lang w:val="zh-CN" w:eastAsia="zh-CN"/>
              </w:rPr>
              <w:t>）问题解答:及时解答采购人关于系统的常见问题，并提供常见问题解决方法。</w:t>
            </w:r>
          </w:p>
          <w:p w14:paraId="3D92D457">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ascii="宋体" w:hAnsi="宋体" w:eastAsia="宋体" w:cs="宋体"/>
                <w:sz w:val="21"/>
                <w:szCs w:val="21"/>
                <w:lang w:val="en-US" w:eastAsia="zh-CN"/>
              </w:rPr>
            </w:pPr>
            <w:r>
              <w:rPr>
                <w:rFonts w:hint="eastAsia" w:ascii="仿宋" w:hAnsi="仿宋" w:eastAsia="仿宋" w:cs="仿宋"/>
                <w:sz w:val="24"/>
                <w:szCs w:val="24"/>
                <w:lang w:val="en-US" w:eastAsia="zh-CN"/>
              </w:rPr>
              <w:t>6</w:t>
            </w:r>
            <w:r>
              <w:rPr>
                <w:rFonts w:hint="eastAsia" w:ascii="仿宋" w:hAnsi="仿宋" w:eastAsia="仿宋" w:cs="仿宋"/>
                <w:sz w:val="24"/>
                <w:szCs w:val="24"/>
                <w:lang w:val="zh-CN" w:eastAsia="zh-CN"/>
              </w:rPr>
              <w:t>）系统升级:为保证系统整体运行稳定，会在本产品范畴内，根据采购人实际需求进行各模块功能合同规定版本内的升级。</w:t>
            </w:r>
          </w:p>
        </w:tc>
      </w:tr>
      <w:tr w14:paraId="06FA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928" w:type="dxa"/>
            <w:vAlign w:val="center"/>
          </w:tcPr>
          <w:p w14:paraId="1CDE44E6">
            <w:pPr>
              <w:pStyle w:val="4"/>
              <w:widowControl/>
              <w:shd w:val="clear" w:color="auto" w:fill="FFFFFF"/>
              <w:spacing w:before="0" w:beforeAutospacing="0" w:after="0" w:afterAutospacing="0" w:line="360" w:lineRule="auto"/>
              <w:jc w:val="center"/>
              <w:rPr>
                <w:rFonts w:hint="eastAsia" w:ascii="宋体" w:hAnsi="宋体" w:eastAsia="宋体" w:cs="宋体"/>
                <w:b w:val="0"/>
                <w:bCs/>
                <w:sz w:val="21"/>
                <w:szCs w:val="21"/>
                <w:shd w:val="clear" w:color="auto" w:fill="FFFFFF"/>
                <w:lang w:val="en-US" w:eastAsia="zh-CN"/>
              </w:rPr>
            </w:pPr>
            <w:r>
              <w:rPr>
                <w:rFonts w:hint="eastAsia" w:ascii="宋体" w:hAnsi="宋体" w:eastAsia="宋体" w:cs="宋体"/>
                <w:b w:val="0"/>
                <w:bCs/>
                <w:sz w:val="21"/>
                <w:szCs w:val="21"/>
                <w:shd w:val="clear" w:color="auto" w:fill="FFFFFF"/>
                <w:lang w:val="en-US" w:eastAsia="zh-CN"/>
              </w:rPr>
              <w:t>实施及后续运维服务要求</w:t>
            </w:r>
          </w:p>
        </w:tc>
        <w:tc>
          <w:tcPr>
            <w:tcW w:w="7897" w:type="dxa"/>
          </w:tcPr>
          <w:p w14:paraId="3598AD37">
            <w:pPr>
              <w:keepNext w:val="0"/>
              <w:keepLines w:val="0"/>
              <w:pageBreakBefore w:val="0"/>
              <w:widowControl w:val="0"/>
              <w:kinsoku/>
              <w:wordWrap/>
              <w:overflowPunct/>
              <w:topLinePunct w:val="0"/>
              <w:autoSpaceDE/>
              <w:autoSpaceDN/>
              <w:bidi w:val="0"/>
              <w:adjustRightInd/>
              <w:snapToGrid/>
              <w:spacing w:after="0" w:line="360" w:lineRule="exact"/>
              <w:ind w:firstLine="420" w:firstLineChars="200"/>
              <w:textAlignment w:val="auto"/>
              <w:rPr>
                <w:rFonts w:hint="default"/>
                <w:lang w:val="en-US" w:eastAsia="zh-CN"/>
              </w:rPr>
            </w:pPr>
            <w:r>
              <w:rPr>
                <w:rFonts w:hint="eastAsia"/>
                <w:lang w:val="en-US" w:eastAsia="zh-CN"/>
              </w:rPr>
              <w:t>1、维保服务期：一年</w:t>
            </w:r>
          </w:p>
          <w:p w14:paraId="081DDB2D">
            <w:pPr>
              <w:keepNext w:val="0"/>
              <w:keepLines w:val="0"/>
              <w:pageBreakBefore w:val="0"/>
              <w:widowControl w:val="0"/>
              <w:kinsoku/>
              <w:wordWrap/>
              <w:overflowPunct/>
              <w:topLinePunct w:val="0"/>
              <w:autoSpaceDE/>
              <w:autoSpaceDN/>
              <w:bidi w:val="0"/>
              <w:adjustRightInd/>
              <w:snapToGrid/>
              <w:spacing w:after="0" w:line="360" w:lineRule="exact"/>
              <w:ind w:firstLine="420" w:firstLineChars="200"/>
              <w:textAlignment w:val="auto"/>
              <w:rPr>
                <w:rFonts w:hint="eastAsia"/>
                <w:lang w:val="en-US" w:eastAsia="zh-CN"/>
              </w:rPr>
            </w:pPr>
            <w:r>
              <w:rPr>
                <w:rFonts w:hint="eastAsia"/>
                <w:lang w:val="en-US" w:eastAsia="zh-CN"/>
              </w:rPr>
              <w:t>2、响应时间：7×24 小时服务，紧急故障≤30 分钟响应，一般问题≤2 小时解决</w:t>
            </w:r>
          </w:p>
          <w:p w14:paraId="3F81735E">
            <w:pPr>
              <w:keepNext w:val="0"/>
              <w:keepLines w:val="0"/>
              <w:pageBreakBefore w:val="0"/>
              <w:widowControl w:val="0"/>
              <w:kinsoku/>
              <w:wordWrap/>
              <w:overflowPunct/>
              <w:topLinePunct w:val="0"/>
              <w:autoSpaceDE/>
              <w:autoSpaceDN/>
              <w:bidi w:val="0"/>
              <w:adjustRightInd/>
              <w:snapToGrid/>
              <w:spacing w:after="0" w:line="360" w:lineRule="exact"/>
              <w:ind w:firstLine="420" w:firstLineChars="200"/>
              <w:textAlignment w:val="auto"/>
              <w:rPr>
                <w:rFonts w:hint="eastAsia"/>
                <w:lang w:val="en-US" w:eastAsia="zh-CN"/>
              </w:rPr>
            </w:pPr>
            <w:r>
              <w:rPr>
                <w:rFonts w:hint="eastAsia"/>
                <w:lang w:val="en-US" w:eastAsia="zh-CN"/>
              </w:rPr>
              <w:t>3、运维内容：故障排查、故障处理、数据备份</w:t>
            </w:r>
          </w:p>
          <w:p w14:paraId="45F514F4">
            <w:pPr>
              <w:keepNext w:val="0"/>
              <w:keepLines w:val="0"/>
              <w:pageBreakBefore w:val="0"/>
              <w:widowControl w:val="0"/>
              <w:kinsoku/>
              <w:wordWrap/>
              <w:overflowPunct/>
              <w:topLinePunct w:val="0"/>
              <w:autoSpaceDE/>
              <w:autoSpaceDN/>
              <w:bidi w:val="0"/>
              <w:adjustRightInd/>
              <w:snapToGrid/>
              <w:spacing w:after="0" w:line="360" w:lineRule="exact"/>
              <w:ind w:firstLine="420" w:firstLineChars="200"/>
              <w:textAlignment w:val="auto"/>
              <w:rPr>
                <w:rFonts w:hint="default"/>
                <w:lang w:val="en-US" w:eastAsia="zh-CN"/>
              </w:rPr>
            </w:pPr>
            <w:r>
              <w:rPr>
                <w:rFonts w:hint="eastAsia"/>
                <w:lang w:val="en-US" w:eastAsia="zh-CN"/>
              </w:rPr>
              <w:t>4、中标方需每月提交合同履行情况报告，经使用部门审核确认后，由采购归口部门汇总督办。</w:t>
            </w:r>
            <w:bookmarkStart w:id="0" w:name="_GoBack"/>
            <w:bookmarkEnd w:id="0"/>
          </w:p>
        </w:tc>
      </w:tr>
    </w:tbl>
    <w:p w14:paraId="7DD870FD">
      <w:pPr>
        <w:bidi w:val="0"/>
        <w:rPr>
          <w:rFonts w:hint="eastAsia"/>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D04"/>
    <w:rsid w:val="00663F69"/>
    <w:rsid w:val="00783CAB"/>
    <w:rsid w:val="007F3D04"/>
    <w:rsid w:val="00CD1532"/>
    <w:rsid w:val="00F3008E"/>
    <w:rsid w:val="03595555"/>
    <w:rsid w:val="054162A1"/>
    <w:rsid w:val="05A81B2B"/>
    <w:rsid w:val="06B34F7C"/>
    <w:rsid w:val="07291B3C"/>
    <w:rsid w:val="0B347037"/>
    <w:rsid w:val="0D187F42"/>
    <w:rsid w:val="0D967279"/>
    <w:rsid w:val="12B77525"/>
    <w:rsid w:val="14E921A9"/>
    <w:rsid w:val="192D5062"/>
    <w:rsid w:val="248636AC"/>
    <w:rsid w:val="30586073"/>
    <w:rsid w:val="32FD11AA"/>
    <w:rsid w:val="350B159F"/>
    <w:rsid w:val="36A2716E"/>
    <w:rsid w:val="37895702"/>
    <w:rsid w:val="3C8732C0"/>
    <w:rsid w:val="41204561"/>
    <w:rsid w:val="48674C0E"/>
    <w:rsid w:val="48F40C37"/>
    <w:rsid w:val="4AF15640"/>
    <w:rsid w:val="4DD802BF"/>
    <w:rsid w:val="4E1C1427"/>
    <w:rsid w:val="4FCB7A35"/>
    <w:rsid w:val="58F130E8"/>
    <w:rsid w:val="5B9F2D6D"/>
    <w:rsid w:val="5F351333"/>
    <w:rsid w:val="5FB52C88"/>
    <w:rsid w:val="64F775D6"/>
    <w:rsid w:val="673F7A07"/>
    <w:rsid w:val="683F57E5"/>
    <w:rsid w:val="69EA5DD9"/>
    <w:rsid w:val="6A8344DB"/>
    <w:rsid w:val="6B705AE9"/>
    <w:rsid w:val="6DE03A44"/>
    <w:rsid w:val="71754026"/>
    <w:rsid w:val="76BD6253"/>
    <w:rsid w:val="76F9433D"/>
    <w:rsid w:val="790A575E"/>
    <w:rsid w:val="7D8104E2"/>
    <w:rsid w:val="7E8C38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widowControl w:val="0"/>
      <w:ind w:firstLine="420" w:firstLineChars="200"/>
      <w:jc w:val="both"/>
    </w:pPr>
    <w:rPr>
      <w:rFonts w:ascii="Times New Roman" w:hAnsi="Times New Roman" w:eastAsia="宋体" w:cs="Times New Roman"/>
      <w:kern w:val="2"/>
      <w:sz w:val="32"/>
      <w:szCs w:val="24"/>
      <w:lang w:val="en-US" w:eastAsia="zh-CN" w:bidi="ar-SA"/>
    </w:rPr>
  </w:style>
  <w:style w:type="paragraph" w:styleId="3">
    <w:name w:val="Body Text Indent"/>
    <w:basedOn w:val="1"/>
    <w:next w:val="2"/>
    <w:qFormat/>
    <w:uiPriority w:val="0"/>
    <w:pPr>
      <w:spacing w:after="120"/>
      <w:ind w:left="420" w:leftChars="200"/>
    </w:pPr>
    <w:rPr>
      <w:sz w:val="21"/>
      <w:szCs w:val="24"/>
    </w:rPr>
  </w:style>
  <w:style w:type="paragraph" w:styleId="6">
    <w:name w:val="Body Text"/>
    <w:basedOn w:val="1"/>
    <w:qFormat/>
    <w:uiPriority w:val="0"/>
    <w:pPr>
      <w:spacing w:after="120"/>
    </w:pPr>
  </w:style>
  <w:style w:type="paragraph" w:styleId="7">
    <w:name w:val="footer"/>
    <w:basedOn w:val="1"/>
    <w:link w:val="15"/>
    <w:qFormat/>
    <w:uiPriority w:val="0"/>
    <w:pPr>
      <w:tabs>
        <w:tab w:val="center" w:pos="4153"/>
        <w:tab w:val="right" w:pos="8306"/>
      </w:tabs>
      <w:snapToGrid w:val="0"/>
      <w:spacing w:line="240" w:lineRule="auto"/>
      <w:jc w:val="left"/>
    </w:pPr>
    <w:rPr>
      <w:sz w:val="18"/>
      <w:szCs w:val="18"/>
    </w:rPr>
  </w:style>
  <w:style w:type="paragraph" w:styleId="8">
    <w:name w:val="header"/>
    <w:basedOn w:val="1"/>
    <w:link w:val="14"/>
    <w:qFormat/>
    <w:uiPriority w:val="0"/>
    <w:pPr>
      <w:tabs>
        <w:tab w:val="center" w:pos="4153"/>
        <w:tab w:val="right" w:pos="8306"/>
      </w:tabs>
      <w:snapToGrid w:val="0"/>
      <w:spacing w:line="240" w:lineRule="auto"/>
      <w:jc w:val="center"/>
    </w:pPr>
    <w:rPr>
      <w:sz w:val="18"/>
      <w:szCs w:val="18"/>
    </w:rPr>
  </w:style>
  <w:style w:type="paragraph" w:styleId="9">
    <w:name w:val="Normal (Web)"/>
    <w:basedOn w:val="1"/>
    <w:qFormat/>
    <w:uiPriority w:val="0"/>
    <w:rPr>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customStyle="1" w:styleId="14">
    <w:name w:val="页眉 字符"/>
    <w:basedOn w:val="12"/>
    <w:link w:val="8"/>
    <w:qFormat/>
    <w:uiPriority w:val="0"/>
    <w:rPr>
      <w:rFonts w:ascii="Calibri" w:hAnsi="Calibri"/>
      <w:kern w:val="2"/>
      <w:sz w:val="18"/>
      <w:szCs w:val="18"/>
    </w:rPr>
  </w:style>
  <w:style w:type="character" w:customStyle="1" w:styleId="15">
    <w:name w:val="页脚 字符"/>
    <w:basedOn w:val="12"/>
    <w:link w:val="7"/>
    <w:qFormat/>
    <w:uiPriority w:val="0"/>
    <w:rPr>
      <w:rFonts w:ascii="Calibri" w:hAnsi="Calibri"/>
      <w:kern w:val="2"/>
      <w:sz w:val="18"/>
      <w:szCs w:val="18"/>
    </w:rPr>
  </w:style>
  <w:style w:type="paragraph" w:customStyle="1" w:styleId="16">
    <w:name w:val="列出段落1"/>
    <w:basedOn w:val="1"/>
    <w:qFormat/>
    <w:uiPriority w:val="34"/>
    <w:pPr>
      <w:widowControl/>
      <w:ind w:firstLine="420" w:firstLineChars="200"/>
      <w:jc w:val="left"/>
    </w:pPr>
    <w:rPr>
      <w:rFonts w:ascii="宋体" w:hAnsi="宋体" w:cs="宋体"/>
      <w:kern w:val="0"/>
      <w:sz w:val="24"/>
      <w:szCs w:val="24"/>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2019</Words>
  <Characters>2091</Characters>
  <Lines>1</Lines>
  <Paragraphs>1</Paragraphs>
  <TotalTime>7</TotalTime>
  <ScaleCrop>false</ScaleCrop>
  <LinksUpToDate>false</LinksUpToDate>
  <CharactersWithSpaces>2091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2025-02-18T08:48:00Z</dcterms:created>
  <dc:creator>Administrator</dc:creator>
  <cp:lastModifiedBy>微信用户</cp:lastModifiedBy>
  <cp:lastPrinted>2025-06-22T06:29:00Z</cp:lastPrinted>
  <dcterms:modified xsi:type="dcterms:W3CDTF">2026-11-03T13:17:28Z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eyJoZGlkIjoiZTRiNjVhYTllYWUwMDIyODUxNzkzMTBjY2I5MDk3ZmUiLCJ1c2VySWQiOiIxMjczMDI1NTE1In0=</vt:lpwstr>
  </property>
  <property fmtid="{D5CDD505-2E9C-101B-9397-08002B2CF9AE}" pid="4" name="ICV">
    <vt:lpwstr>7517C67526504CC5ABF2AE3CE5194EB2_13</vt:lpwstr>
  </property>
</Properties>
</file>